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BBF6E" w14:textId="1ABCA9D5" w:rsidR="003510BB" w:rsidRPr="00AD5EBB" w:rsidRDefault="00652373" w:rsidP="00AD5EBB">
      <w:pPr>
        <w:pStyle w:val="Heading2"/>
        <w:rPr>
          <w:rFonts w:ascii="Arial" w:hAnsi="Arial" w:cs="Arial"/>
          <w:sz w:val="28"/>
          <w:szCs w:val="28"/>
        </w:rPr>
      </w:pPr>
      <w:bookmarkStart w:id="0" w:name="_Toc310597890"/>
      <w:r>
        <w:rPr>
          <w:rFonts w:ascii="Arial" w:hAnsi="Arial" w:cs="Arial"/>
          <w:sz w:val="28"/>
          <w:szCs w:val="28"/>
        </w:rPr>
        <w:t>Prohibit Enclosures below Elevated Buildings</w:t>
      </w:r>
      <w:r w:rsidR="007C6727">
        <w:rPr>
          <w:rFonts w:ascii="Arial" w:hAnsi="Arial" w:cs="Arial"/>
          <w:sz w:val="28"/>
          <w:szCs w:val="28"/>
        </w:rPr>
        <w:t xml:space="preserve"> </w:t>
      </w:r>
      <w:r w:rsidR="003510BB" w:rsidRPr="00680D7D">
        <w:rPr>
          <w:rFonts w:ascii="Arial" w:hAnsi="Arial" w:cs="Arial"/>
          <w:sz w:val="28"/>
          <w:szCs w:val="28"/>
        </w:rPr>
        <w:t xml:space="preserve">– </w:t>
      </w:r>
      <w:bookmarkStart w:id="1" w:name="_Hlk22891799"/>
      <w:bookmarkEnd w:id="0"/>
      <w:r w:rsidR="00083B4B" w:rsidRPr="001F2848">
        <w:rPr>
          <w:rFonts w:ascii="Arial" w:hAnsi="Arial" w:cs="Arial"/>
          <w:b w:val="0"/>
          <w:sz w:val="28"/>
          <w:szCs w:val="28"/>
        </w:rPr>
        <w:t>local technical code amendments (</w:t>
      </w:r>
      <w:r w:rsidR="00A572F1">
        <w:rPr>
          <w:rFonts w:ascii="Arial" w:hAnsi="Arial" w:cs="Arial"/>
          <w:b w:val="0"/>
          <w:sz w:val="28"/>
          <w:szCs w:val="28"/>
        </w:rPr>
        <w:t>Part 2 building and Part 2.5 residential</w:t>
      </w:r>
      <w:r w:rsidR="00083B4B" w:rsidRPr="001F2848">
        <w:rPr>
          <w:rFonts w:ascii="Arial" w:hAnsi="Arial" w:cs="Arial"/>
          <w:b w:val="0"/>
          <w:sz w:val="28"/>
          <w:szCs w:val="28"/>
        </w:rPr>
        <w:t>)</w:t>
      </w:r>
      <w:r w:rsidR="00083B4B" w:rsidRPr="00680D7D">
        <w:rPr>
          <w:rFonts w:ascii="Arial" w:hAnsi="Arial" w:cs="Arial"/>
          <w:sz w:val="28"/>
          <w:szCs w:val="28"/>
        </w:rPr>
        <w:t xml:space="preserve"> </w:t>
      </w:r>
      <w:bookmarkEnd w:id="1"/>
    </w:p>
    <w:p w14:paraId="1503A594" w14:textId="486F4DBF" w:rsidR="00083B4B" w:rsidRDefault="00083B4B" w:rsidP="00083B4B">
      <w:pPr>
        <w:rPr>
          <w:rFonts w:asciiTheme="minorHAnsi" w:hAnsiTheme="minorHAnsi" w:cstheme="minorHAnsi"/>
          <w:b/>
          <w:sz w:val="26"/>
          <w:szCs w:val="26"/>
        </w:rPr>
      </w:pPr>
      <w:bookmarkStart w:id="2" w:name="_Hlk22891220"/>
    </w:p>
    <w:p w14:paraId="4163BCF1" w14:textId="77777777" w:rsidR="000508DA" w:rsidRDefault="00083B4B" w:rsidP="00083B4B">
      <w:pPr>
        <w:rPr>
          <w:rFonts w:asciiTheme="minorHAnsi" w:hAnsiTheme="minorHAnsi" w:cstheme="minorHAnsi"/>
          <w:b/>
          <w:sz w:val="26"/>
          <w:szCs w:val="26"/>
          <w:u w:val="single"/>
        </w:rPr>
      </w:pPr>
      <w:r>
        <w:rPr>
          <w:noProof/>
        </w:rPr>
        <mc:AlternateContent>
          <mc:Choice Requires="wps">
            <w:drawing>
              <wp:inline distT="0" distB="0" distL="0" distR="0" wp14:anchorId="6F45ACA9" wp14:editId="322964EF">
                <wp:extent cx="5943600" cy="786765"/>
                <wp:effectExtent l="19050" t="19050" r="38100" b="2984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8355"/>
                        </a:xfrm>
                        <a:prstGeom prst="rect">
                          <a:avLst/>
                        </a:prstGeom>
                        <a:solidFill>
                          <a:srgbClr val="FFFFFF"/>
                        </a:solidFill>
                        <a:ln w="57150" cmpd="thinThick">
                          <a:solidFill>
                            <a:srgbClr val="000000"/>
                          </a:solidFill>
                          <a:miter lim="800000"/>
                          <a:headEnd/>
                          <a:tailEnd/>
                        </a:ln>
                      </wps:spPr>
                      <wps:txbx>
                        <w:txbxContent>
                          <w:p w14:paraId="44BEC783" w14:textId="762A4205" w:rsidR="00083B4B" w:rsidRDefault="00E50BB1" w:rsidP="00083B4B">
                            <w:pPr>
                              <w:spacing w:before="80" w:after="80"/>
                              <w:rPr>
                                <w:rFonts w:asciiTheme="minorHAnsi" w:hAnsiTheme="minorHAnsi" w:cstheme="minorHAnsi"/>
                                <w:sz w:val="24"/>
                                <w:szCs w:val="24"/>
                              </w:rPr>
                            </w:pPr>
                            <w:r>
                              <w:rPr>
                                <w:rFonts w:asciiTheme="minorHAnsi" w:hAnsiTheme="minorHAnsi" w:cstheme="minorHAnsi"/>
                                <w:sz w:val="24"/>
                                <w:szCs w:val="24"/>
                              </w:rPr>
                              <w:t>Submit draft ordinances amending the flood provisions of the building code (in &lt;</w:t>
                            </w:r>
                            <w:r w:rsidRPr="004451AC">
                              <w:rPr>
                                <w:rFonts w:asciiTheme="minorHAnsi" w:hAnsiTheme="minorHAnsi" w:cstheme="minorHAnsi"/>
                                <w:color w:val="C00000"/>
                                <w:sz w:val="24"/>
                                <w:szCs w:val="24"/>
                              </w:rPr>
                              <w:t>track changes</w:t>
                            </w:r>
                            <w:r>
                              <w:rPr>
                                <w:rFonts w:asciiTheme="minorHAnsi" w:hAnsiTheme="minorHAnsi" w:cstheme="minorHAnsi"/>
                                <w:sz w:val="24"/>
                                <w:szCs w:val="24"/>
                              </w:rPr>
                              <w:t xml:space="preserve">&gt;) for review well in advance of first reading to </w:t>
                            </w:r>
                            <w:hyperlink r:id="rId8" w:history="1">
                              <w:r>
                                <w:rPr>
                                  <w:rStyle w:val="Hyperlink"/>
                                  <w:rFonts w:asciiTheme="minorHAnsi" w:hAnsiTheme="minorHAnsi" w:cstheme="minorHAnsi"/>
                                  <w:sz w:val="24"/>
                                  <w:szCs w:val="24"/>
                                </w:rPr>
                                <w:t>DWR_NFIP@water.ca.gov</w:t>
                              </w:r>
                            </w:hyperlink>
                            <w:r w:rsidR="00EA550D">
                              <w:rPr>
                                <w:rStyle w:val="Hyperlink"/>
                                <w:rFonts w:asciiTheme="minorHAnsi" w:hAnsiTheme="minorHAnsi" w:cstheme="minorHAnsi"/>
                                <w:sz w:val="24"/>
                                <w:szCs w:val="24"/>
                                <w:u w:val="none"/>
                              </w:rPr>
                              <w:t xml:space="preserve"> or </w:t>
                            </w:r>
                            <w:hyperlink r:id="rId9" w:history="1">
                              <w:r w:rsidR="007E5974" w:rsidRPr="00445FD9">
                                <w:rPr>
                                  <w:rStyle w:val="Hyperlink"/>
                                  <w:rFonts w:asciiTheme="minorHAnsi" w:hAnsiTheme="minorHAnsi" w:cstheme="minorHAnsi"/>
                                  <w:sz w:val="24"/>
                                  <w:szCs w:val="24"/>
                                </w:rPr>
                                <w:t>FEMA-NFIP-R9@fema.dhs.gov</w:t>
                              </w:r>
                            </w:hyperlink>
                            <w:r>
                              <w:rPr>
                                <w:rFonts w:asciiTheme="minorHAnsi" w:hAnsiTheme="minorHAnsi" w:cstheme="minorHAnsi"/>
                                <w:sz w:val="24"/>
                                <w:szCs w:val="24"/>
                              </w:rPr>
                              <w:t>.</w:t>
                            </w:r>
                            <w:r w:rsidR="00EA550D">
                              <w:rPr>
                                <w:rFonts w:asciiTheme="minorHAnsi" w:hAnsiTheme="minorHAnsi" w:cstheme="minorHAnsi"/>
                                <w:sz w:val="24"/>
                                <w:szCs w:val="24"/>
                              </w:rPr>
                              <w:t xml:space="preserve"> </w:t>
                            </w:r>
                            <w:r>
                              <w:rPr>
                                <w:rFonts w:asciiTheme="minorHAnsi" w:hAnsiTheme="minorHAnsi" w:cstheme="minorHAnsi"/>
                                <w:sz w:val="24"/>
                                <w:szCs w:val="24"/>
                              </w:rPr>
                              <w:t xml:space="preserve">Please put community name in subject line. </w:t>
                            </w:r>
                            <w:r w:rsidR="00CB7788">
                              <w:rPr>
                                <w:rFonts w:asciiTheme="minorHAnsi" w:hAnsiTheme="minorHAnsi" w:cstheme="minorHAnsi"/>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type w14:anchorId="6F45ACA9" id="_x0000_t202" coordsize="21600,21600" o:spt="202" path="m,l,21600r21600,l21600,xe">
                <v:stroke joinstyle="miter"/>
                <v:path gradientshapeok="t" o:connecttype="rect"/>
              </v:shapetype>
              <v:shape id="Text Box 10" o:spid="_x0000_s1026" type="#_x0000_t202" style="width:468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" strokeweight="4.5pt">
                <v:stroke linestyle="thinThick"/>
                <v:textbox style="mso-fit-shape-to-text:t">
                  <w:txbxContent>
                    <w:p w14:paraId="44BEC783" w14:textId="762A4205" w:rsidR="00083B4B" w:rsidRDefault="00E50BB1" w:rsidP="00083B4B">
                      <w:pPr>
                        <w:spacing w:before="80" w:after="80"/>
                        <w:rPr>
                          <w:rFonts w:asciiTheme="minorHAnsi" w:hAnsiTheme="minorHAnsi" w:cstheme="minorHAnsi"/>
                          <w:sz w:val="24"/>
                          <w:szCs w:val="24"/>
                        </w:rPr>
                      </w:pPr>
                      <w:r>
                        <w:rPr>
                          <w:rFonts w:asciiTheme="minorHAnsi" w:hAnsiTheme="minorHAnsi" w:cstheme="minorHAnsi"/>
                          <w:sz w:val="24"/>
                          <w:szCs w:val="24"/>
                        </w:rPr>
                        <w:t>Submit draft ordinances amending the flood provisions of the building code (in &lt;</w:t>
                      </w:r>
                      <w:r w:rsidRPr="004451AC">
                        <w:rPr>
                          <w:rFonts w:asciiTheme="minorHAnsi" w:hAnsiTheme="minorHAnsi" w:cstheme="minorHAnsi"/>
                          <w:color w:val="C00000"/>
                          <w:sz w:val="24"/>
                          <w:szCs w:val="24"/>
                        </w:rPr>
                        <w:t>track changes</w:t>
                      </w:r>
                      <w:r>
                        <w:rPr>
                          <w:rFonts w:asciiTheme="minorHAnsi" w:hAnsiTheme="minorHAnsi" w:cstheme="minorHAnsi"/>
                          <w:sz w:val="24"/>
                          <w:szCs w:val="24"/>
                        </w:rPr>
                        <w:t xml:space="preserve">&gt;) for review well in advance of first reading to </w:t>
                      </w:r>
                      <w:hyperlink r:id="rId10" w:history="1">
                        <w:r>
                          <w:rPr>
                            <w:rStyle w:val="Hyperlink"/>
                            <w:rFonts w:asciiTheme="minorHAnsi" w:hAnsiTheme="minorHAnsi" w:cstheme="minorHAnsi"/>
                            <w:sz w:val="24"/>
                            <w:szCs w:val="24"/>
                          </w:rPr>
                          <w:t>DWR_NFIP@water.ca.gov</w:t>
                        </w:r>
                      </w:hyperlink>
                      <w:r w:rsidR="00EA550D">
                        <w:rPr>
                          <w:rStyle w:val="Hyperlink"/>
                          <w:rFonts w:asciiTheme="minorHAnsi" w:hAnsiTheme="minorHAnsi" w:cstheme="minorHAnsi"/>
                          <w:sz w:val="24"/>
                          <w:szCs w:val="24"/>
                          <w:u w:val="none"/>
                        </w:rPr>
                        <w:t xml:space="preserve"> or </w:t>
                      </w:r>
                      <w:hyperlink r:id="rId11" w:history="1">
                        <w:r w:rsidR="007E5974" w:rsidRPr="00445FD9">
                          <w:rPr>
                            <w:rStyle w:val="Hyperlink"/>
                            <w:rFonts w:asciiTheme="minorHAnsi" w:hAnsiTheme="minorHAnsi" w:cstheme="minorHAnsi"/>
                            <w:sz w:val="24"/>
                            <w:szCs w:val="24"/>
                          </w:rPr>
                          <w:t>FEMA-NFIP-R9@fema.dhs.gov</w:t>
                        </w:r>
                      </w:hyperlink>
                      <w:r>
                        <w:rPr>
                          <w:rFonts w:asciiTheme="minorHAnsi" w:hAnsiTheme="minorHAnsi" w:cstheme="minorHAnsi"/>
                          <w:sz w:val="24"/>
                          <w:szCs w:val="24"/>
                        </w:rPr>
                        <w:t>.</w:t>
                      </w:r>
                      <w:r w:rsidR="00EA550D">
                        <w:rPr>
                          <w:rFonts w:asciiTheme="minorHAnsi" w:hAnsiTheme="minorHAnsi" w:cstheme="minorHAnsi"/>
                          <w:sz w:val="24"/>
                          <w:szCs w:val="24"/>
                        </w:rPr>
                        <w:t xml:space="preserve"> </w:t>
                      </w:r>
                      <w:r>
                        <w:rPr>
                          <w:rFonts w:asciiTheme="minorHAnsi" w:hAnsiTheme="minorHAnsi" w:cstheme="minorHAnsi"/>
                          <w:sz w:val="24"/>
                          <w:szCs w:val="24"/>
                        </w:rPr>
                        <w:t xml:space="preserve">Please put community name in subject line. </w:t>
                      </w:r>
                      <w:r w:rsidR="00CB7788">
                        <w:rPr>
                          <w:rFonts w:asciiTheme="minorHAnsi" w:hAnsiTheme="minorHAnsi" w:cstheme="minorHAnsi"/>
                          <w:sz w:val="24"/>
                          <w:szCs w:val="24"/>
                        </w:rPr>
                        <w:t xml:space="preserve"> </w:t>
                      </w:r>
                    </w:p>
                  </w:txbxContent>
                </v:textbox>
                <w10:anchorlock/>
              </v:shape>
            </w:pict>
          </mc:Fallback>
        </mc:AlternateContent>
      </w:r>
    </w:p>
    <w:p w14:paraId="7B1502BE" w14:textId="77777777" w:rsidR="000508DA" w:rsidRDefault="000508DA" w:rsidP="00083B4B">
      <w:pPr>
        <w:rPr>
          <w:rFonts w:asciiTheme="minorHAnsi" w:hAnsiTheme="minorHAnsi" w:cstheme="minorHAnsi"/>
          <w:b/>
          <w:sz w:val="26"/>
          <w:szCs w:val="26"/>
          <w:u w:val="single"/>
        </w:rPr>
      </w:pPr>
    </w:p>
    <w:p w14:paraId="47F3CE7F" w14:textId="2A543228" w:rsidR="00083B4B" w:rsidRDefault="00083B4B" w:rsidP="00083B4B">
      <w:pPr>
        <w:rPr>
          <w:rFonts w:asciiTheme="minorHAnsi" w:hAnsiTheme="minorHAnsi" w:cstheme="minorHAnsi"/>
          <w:snapToGrid/>
          <w:sz w:val="26"/>
          <w:szCs w:val="26"/>
        </w:rPr>
      </w:pPr>
      <w:r>
        <w:rPr>
          <w:rFonts w:asciiTheme="minorHAnsi" w:hAnsiTheme="minorHAnsi" w:cstheme="minorHAnsi"/>
          <w:b/>
          <w:sz w:val="26"/>
          <w:szCs w:val="26"/>
          <w:u w:val="single"/>
        </w:rPr>
        <w:t>Before you start</w:t>
      </w:r>
      <w:r>
        <w:rPr>
          <w:rFonts w:asciiTheme="minorHAnsi" w:hAnsiTheme="minorHAnsi" w:cstheme="minorHAnsi"/>
          <w:b/>
          <w:sz w:val="26"/>
          <w:szCs w:val="26"/>
        </w:rPr>
        <w:t xml:space="preserve">:  </w:t>
      </w:r>
      <w:r>
        <w:rPr>
          <w:rFonts w:asciiTheme="minorHAnsi" w:hAnsiTheme="minorHAnsi" w:cstheme="minorHAnsi"/>
          <w:sz w:val="26"/>
          <w:szCs w:val="26"/>
        </w:rPr>
        <w:t>Review the General Instructions for Amending the California Building Standards Code (C</w:t>
      </w:r>
      <w:r w:rsidR="00A572F1">
        <w:rPr>
          <w:rFonts w:asciiTheme="minorHAnsi" w:hAnsiTheme="minorHAnsi" w:cstheme="minorHAnsi"/>
          <w:sz w:val="26"/>
          <w:szCs w:val="26"/>
        </w:rPr>
        <w:t>C</w:t>
      </w:r>
      <w:r>
        <w:rPr>
          <w:rFonts w:asciiTheme="minorHAnsi" w:hAnsiTheme="minorHAnsi" w:cstheme="minorHAnsi"/>
          <w:sz w:val="26"/>
          <w:szCs w:val="26"/>
        </w:rPr>
        <w:t>R Title 24) to Adopt Higher Standards for Buildings and Development Located in Flood Hazard Areas.</w:t>
      </w:r>
    </w:p>
    <w:bookmarkEnd w:id="2"/>
    <w:p w14:paraId="0FC3CB97" w14:textId="77777777" w:rsidR="00AD5EBB" w:rsidRPr="002927D3" w:rsidRDefault="00AD5EBB" w:rsidP="002927D3"/>
    <w:p w14:paraId="033CF5DE" w14:textId="77777777" w:rsidR="000508DA" w:rsidRDefault="005237F4" w:rsidP="000508DA">
      <w:pPr>
        <w:jc w:val="center"/>
        <w:rPr>
          <w:rFonts w:asciiTheme="minorHAnsi" w:hAnsiTheme="minorHAnsi" w:cstheme="minorHAnsi"/>
          <w:b/>
          <w:sz w:val="26"/>
          <w:szCs w:val="26"/>
          <w:u w:val="single"/>
        </w:rPr>
      </w:pPr>
      <w:r w:rsidRPr="00CF68D3">
        <w:rPr>
          <w:rFonts w:ascii="Arial" w:hAnsi="Arial" w:cs="Arial"/>
          <w:noProof/>
          <w:sz w:val="22"/>
          <w:szCs w:val="22"/>
        </w:rPr>
        <mc:AlternateContent>
          <mc:Choice Requires="wps">
            <w:drawing>
              <wp:inline distT="0" distB="0" distL="0" distR="0" wp14:anchorId="032D9ADE" wp14:editId="00FE4CF4">
                <wp:extent cx="4572000" cy="1404620"/>
                <wp:effectExtent l="0" t="0" r="19050" b="177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FF89AD3" w14:textId="77777777" w:rsidR="005237F4" w:rsidRDefault="005237F4" w:rsidP="005237F4">
                            <w:pPr>
                              <w:rPr>
                                <w:rFonts w:asciiTheme="minorHAnsi" w:hAnsiTheme="minorHAnsi" w:cstheme="minorHAnsi"/>
                                <w:sz w:val="22"/>
                                <w:szCs w:val="22"/>
                              </w:rPr>
                            </w:pPr>
                            <w:r>
                              <w:rPr>
                                <w:rFonts w:asciiTheme="minorHAnsi" w:hAnsiTheme="minorHAnsi" w:cstheme="minorHAnsi"/>
                                <w:b/>
                                <w:sz w:val="22"/>
                                <w:szCs w:val="22"/>
                              </w:rPr>
                              <w:t xml:space="preserve">NFIP Community Rating System Credits. </w:t>
                            </w:r>
                            <w:r>
                              <w:rPr>
                                <w:rFonts w:asciiTheme="minorHAnsi" w:hAnsiTheme="minorHAnsi" w:cstheme="minorHAnsi"/>
                                <w:sz w:val="22"/>
                                <w:szCs w:val="22"/>
                              </w:rPr>
                              <w:t xml:space="preserve">Adoption and enforcement of this higher standard may qualify for CRS points (credits). Communities should review the </w:t>
                            </w:r>
                            <w:hyperlink r:id="rId12" w:history="1">
                              <w:r w:rsidRPr="00F663CB">
                                <w:rPr>
                                  <w:rStyle w:val="Hyperlink"/>
                                  <w:rFonts w:asciiTheme="minorHAnsi" w:hAnsiTheme="minorHAnsi" w:cstheme="minorHAnsi"/>
                                  <w:i/>
                                  <w:sz w:val="22"/>
                                  <w:szCs w:val="22"/>
                                </w:rPr>
                                <w:t>CRS Coordinators Manual</w:t>
                              </w:r>
                            </w:hyperlink>
                            <w:r w:rsidRPr="0061288D">
                              <w:rPr>
                                <w:rFonts w:asciiTheme="minorHAnsi" w:hAnsiTheme="minorHAnsi" w:cstheme="minorHAnsi"/>
                                <w:i/>
                                <w:sz w:val="22"/>
                                <w:szCs w:val="22"/>
                              </w:rPr>
                              <w:t xml:space="preserve"> </w:t>
                            </w:r>
                            <w:r>
                              <w:rPr>
                                <w:rFonts w:asciiTheme="minorHAnsi" w:hAnsiTheme="minorHAnsi" w:cstheme="minorHAnsi"/>
                                <w:sz w:val="22"/>
                                <w:szCs w:val="22"/>
                              </w:rPr>
                              <w:t xml:space="preserve">and consult with their CRS Resource Specialists. FEMA/ISO determines which provisions qualify for points.  </w:t>
                            </w:r>
                          </w:p>
                        </w:txbxContent>
                      </wps:txbx>
                      <wps:bodyPr rot="0" vert="horz" wrap="square" lIns="91440" tIns="45720" rIns="91440" bIns="45720" anchor="t" anchorCtr="0">
                        <a:spAutoFit/>
                      </wps:bodyPr>
                    </wps:wsp>
                  </a:graphicData>
                </a:graphic>
              </wp:inline>
            </w:drawing>
          </mc:Choice>
          <mc:Fallback>
            <w:pict>
              <v:shape w14:anchorId="032D9ADE" id="Text Box 2" o:spid="_x0000_s1027"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">
                <v:textbox style="mso-fit-shape-to-text:t">
                  <w:txbxContent>
                    <w:p w14:paraId="4FF89AD3" w14:textId="77777777" w:rsidR="005237F4" w:rsidRDefault="005237F4" w:rsidP="005237F4">
                      <w:pPr>
                        <w:rPr>
                          <w:rFonts w:asciiTheme="minorHAnsi" w:hAnsiTheme="minorHAnsi" w:cstheme="minorHAnsi"/>
                          <w:sz w:val="22"/>
                          <w:szCs w:val="22"/>
                        </w:rPr>
                      </w:pPr>
                      <w:r>
                        <w:rPr>
                          <w:rFonts w:asciiTheme="minorHAnsi" w:hAnsiTheme="minorHAnsi" w:cstheme="minorHAnsi"/>
                          <w:b/>
                          <w:sz w:val="22"/>
                          <w:szCs w:val="22"/>
                        </w:rPr>
                        <w:t xml:space="preserve">NFIP Community Rating System Credits. </w:t>
                      </w:r>
                      <w:r>
                        <w:rPr>
                          <w:rFonts w:asciiTheme="minorHAnsi" w:hAnsiTheme="minorHAnsi" w:cstheme="minorHAnsi"/>
                          <w:sz w:val="22"/>
                          <w:szCs w:val="22"/>
                        </w:rPr>
                        <w:t xml:space="preserve">Adoption and enforcement of this higher standard may qualify for CRS points (credits). Communities should review the </w:t>
                      </w:r>
                      <w:hyperlink r:id="rId13" w:history="1">
                        <w:r w:rsidRPr="00F663CB">
                          <w:rPr>
                            <w:rStyle w:val="Hyperlink"/>
                            <w:rFonts w:asciiTheme="minorHAnsi" w:hAnsiTheme="minorHAnsi" w:cstheme="minorHAnsi"/>
                            <w:i/>
                            <w:sz w:val="22"/>
                            <w:szCs w:val="22"/>
                          </w:rPr>
                          <w:t>CRS Coordinators Manual</w:t>
                        </w:r>
                      </w:hyperlink>
                      <w:r w:rsidRPr="0061288D">
                        <w:rPr>
                          <w:rFonts w:asciiTheme="minorHAnsi" w:hAnsiTheme="minorHAnsi" w:cstheme="minorHAnsi"/>
                          <w:i/>
                          <w:sz w:val="22"/>
                          <w:szCs w:val="22"/>
                        </w:rPr>
                        <w:t xml:space="preserve"> </w:t>
                      </w:r>
                      <w:r>
                        <w:rPr>
                          <w:rFonts w:asciiTheme="minorHAnsi" w:hAnsiTheme="minorHAnsi" w:cstheme="minorHAnsi"/>
                          <w:sz w:val="22"/>
                          <w:szCs w:val="22"/>
                        </w:rPr>
                        <w:t xml:space="preserve">and consult with their CRS Resource Specialists. FEMA/ISO determines which provisions qualify for points.  </w:t>
                      </w:r>
                    </w:p>
                  </w:txbxContent>
                </v:textbox>
                <w10:anchorlock/>
              </v:shape>
            </w:pict>
          </mc:Fallback>
        </mc:AlternateContent>
      </w:r>
    </w:p>
    <w:p w14:paraId="237D5BDF" w14:textId="77777777" w:rsidR="000508DA" w:rsidRDefault="000508DA" w:rsidP="00652373">
      <w:pPr>
        <w:rPr>
          <w:rFonts w:asciiTheme="minorHAnsi" w:hAnsiTheme="minorHAnsi" w:cstheme="minorHAnsi"/>
          <w:b/>
          <w:sz w:val="26"/>
          <w:szCs w:val="26"/>
          <w:u w:val="single"/>
        </w:rPr>
      </w:pPr>
    </w:p>
    <w:p w14:paraId="4791387F" w14:textId="54B0F394" w:rsidR="00652373" w:rsidRPr="00652373" w:rsidRDefault="003510BB" w:rsidP="00652373">
      <w:pPr>
        <w:rPr>
          <w:rFonts w:asciiTheme="minorHAnsi" w:hAnsiTheme="minorHAnsi" w:cstheme="minorHAnsi"/>
          <w:sz w:val="26"/>
          <w:szCs w:val="26"/>
        </w:rPr>
      </w:pPr>
      <w:r w:rsidRPr="009F2B59">
        <w:rPr>
          <w:rFonts w:asciiTheme="minorHAnsi" w:hAnsiTheme="minorHAnsi" w:cstheme="minorHAnsi"/>
          <w:b/>
          <w:sz w:val="26"/>
          <w:szCs w:val="26"/>
          <w:u w:val="single"/>
        </w:rPr>
        <w:t>Description</w:t>
      </w:r>
      <w:bookmarkStart w:id="3" w:name="_Hlk22891277"/>
      <w:r w:rsidR="00083B4B">
        <w:rPr>
          <w:rStyle w:val="FootnoteReference"/>
          <w:rFonts w:asciiTheme="minorHAnsi" w:hAnsiTheme="minorHAnsi" w:cstheme="minorHAnsi"/>
          <w:b/>
          <w:sz w:val="26"/>
          <w:szCs w:val="26"/>
          <w:u w:val="single"/>
        </w:rPr>
        <w:footnoteReference w:id="1"/>
      </w:r>
      <w:bookmarkEnd w:id="3"/>
      <w:r w:rsidR="00083B4B" w:rsidRPr="009F2B59">
        <w:rPr>
          <w:rFonts w:asciiTheme="minorHAnsi" w:hAnsiTheme="minorHAnsi" w:cstheme="minorHAnsi"/>
          <w:b/>
          <w:sz w:val="26"/>
          <w:szCs w:val="26"/>
        </w:rPr>
        <w:t>:</w:t>
      </w:r>
      <w:r w:rsidRPr="009F2B59">
        <w:rPr>
          <w:rFonts w:asciiTheme="minorHAnsi" w:hAnsiTheme="minorHAnsi" w:cstheme="minorHAnsi"/>
          <w:sz w:val="26"/>
          <w:szCs w:val="26"/>
        </w:rPr>
        <w:t xml:space="preserve">  </w:t>
      </w:r>
      <w:r w:rsidR="00652373" w:rsidRPr="00652373">
        <w:rPr>
          <w:rFonts w:asciiTheme="minorHAnsi" w:hAnsiTheme="minorHAnsi" w:cstheme="minorHAnsi"/>
          <w:sz w:val="26"/>
          <w:szCs w:val="26"/>
        </w:rPr>
        <w:t xml:space="preserve">Buildings located in flood hazard areas may be subject to considerable forces exerted on foundations and any portions that extend below the </w:t>
      </w:r>
      <w:r w:rsidR="00751C7A">
        <w:rPr>
          <w:rFonts w:asciiTheme="minorHAnsi" w:hAnsiTheme="minorHAnsi" w:cstheme="minorHAnsi"/>
          <w:sz w:val="26"/>
          <w:szCs w:val="26"/>
        </w:rPr>
        <w:t>flood level</w:t>
      </w:r>
      <w:r w:rsidR="00652373" w:rsidRPr="00652373">
        <w:rPr>
          <w:rFonts w:asciiTheme="minorHAnsi" w:hAnsiTheme="minorHAnsi" w:cstheme="minorHAnsi"/>
          <w:sz w:val="26"/>
          <w:szCs w:val="26"/>
        </w:rPr>
        <w:t xml:space="preserve">. Enclosures below otherwise properly elevated buildings are allowed under the NFIP and the </w:t>
      </w:r>
      <w:r w:rsidR="00751C7A" w:rsidRPr="009F7C65">
        <w:rPr>
          <w:rFonts w:asciiTheme="minorHAnsi" w:hAnsiTheme="minorHAnsi" w:cstheme="minorHAnsi"/>
          <w:sz w:val="26"/>
          <w:szCs w:val="26"/>
        </w:rPr>
        <w:t>California Building Standards Code</w:t>
      </w:r>
      <w:r w:rsidR="00751C7A" w:rsidRPr="003D5F40">
        <w:rPr>
          <w:rFonts w:asciiTheme="minorHAnsi" w:hAnsiTheme="minorHAnsi" w:cstheme="minorHAnsi"/>
          <w:sz w:val="26"/>
          <w:szCs w:val="26"/>
        </w:rPr>
        <w:t xml:space="preserve">, </w:t>
      </w:r>
      <w:r w:rsidR="00652373" w:rsidRPr="00652373">
        <w:rPr>
          <w:rFonts w:asciiTheme="minorHAnsi" w:hAnsiTheme="minorHAnsi" w:cstheme="minorHAnsi"/>
          <w:sz w:val="26"/>
          <w:szCs w:val="26"/>
        </w:rPr>
        <w:t xml:space="preserve">provided the enclosures meet certain requirements and are used only for parking of vehicles, storage, and building access. The requirements for the walls of enclosures depend on flood zone. The presence of enclosures below elevated buildings results in higher NFIP flood insurance premiums, especially in </w:t>
      </w:r>
      <w:r w:rsidR="001213E9">
        <w:rPr>
          <w:rFonts w:asciiTheme="minorHAnsi" w:hAnsiTheme="minorHAnsi" w:cstheme="minorHAnsi"/>
          <w:sz w:val="26"/>
          <w:szCs w:val="26"/>
        </w:rPr>
        <w:t>Zone V/VE</w:t>
      </w:r>
      <w:r w:rsidR="00652373" w:rsidRPr="00652373">
        <w:rPr>
          <w:rFonts w:asciiTheme="minorHAnsi" w:hAnsiTheme="minorHAnsi" w:cstheme="minorHAnsi"/>
          <w:sz w:val="26"/>
          <w:szCs w:val="26"/>
        </w:rPr>
        <w:t>.</w:t>
      </w:r>
    </w:p>
    <w:p w14:paraId="79C07A6B" w14:textId="77777777" w:rsidR="00EB2C45" w:rsidRDefault="00EB2C45" w:rsidP="00652373">
      <w:pPr>
        <w:rPr>
          <w:rFonts w:asciiTheme="minorHAnsi" w:hAnsiTheme="minorHAnsi" w:cstheme="minorHAnsi"/>
          <w:sz w:val="26"/>
          <w:szCs w:val="26"/>
        </w:rPr>
      </w:pPr>
    </w:p>
    <w:p w14:paraId="6566234A" w14:textId="130D213A" w:rsidR="00831D95" w:rsidRPr="009F2B59" w:rsidRDefault="00652373" w:rsidP="00652373">
      <w:pPr>
        <w:rPr>
          <w:rFonts w:asciiTheme="minorHAnsi" w:hAnsiTheme="minorHAnsi" w:cstheme="minorHAnsi"/>
          <w:sz w:val="26"/>
          <w:szCs w:val="26"/>
        </w:rPr>
      </w:pPr>
      <w:r w:rsidRPr="00652373">
        <w:rPr>
          <w:rFonts w:asciiTheme="minorHAnsi" w:hAnsiTheme="minorHAnsi" w:cstheme="minorHAnsi"/>
          <w:sz w:val="26"/>
          <w:szCs w:val="26"/>
        </w:rPr>
        <w:t>Some communities choose to prohibit enclosures to minimize obstructing flow, reduce the amount of debris added to floodwater, and minimize damage that can still be sustained by elevated buildings. Additional benefits of prohibiting enclosures below elevated buildings are lower NFIP flood insurance premiums and reduced opportunities for owners to modify enclosures for uses other than those allowed.</w:t>
      </w:r>
    </w:p>
    <w:p w14:paraId="1A64BA02" w14:textId="77777777" w:rsidR="00831D95" w:rsidRDefault="00831D95" w:rsidP="003510BB">
      <w:pPr>
        <w:rPr>
          <w:rFonts w:ascii="Times New Roman" w:hAnsi="Times New Roman"/>
          <w:sz w:val="24"/>
          <w:szCs w:val="24"/>
        </w:rPr>
      </w:pPr>
    </w:p>
    <w:p w14:paraId="1C64D7D2" w14:textId="32D7DBFE" w:rsidR="00076A36" w:rsidRPr="009F2B59" w:rsidRDefault="00652373" w:rsidP="000225FA">
      <w:pPr>
        <w:rPr>
          <w:rFonts w:asciiTheme="minorHAnsi" w:hAnsiTheme="minorHAnsi" w:cstheme="minorHAnsi"/>
          <w:sz w:val="26"/>
          <w:szCs w:val="26"/>
        </w:rPr>
      </w:pPr>
      <w:r>
        <w:rPr>
          <w:rFonts w:asciiTheme="minorHAnsi" w:hAnsiTheme="minorHAnsi" w:cstheme="minorHAnsi"/>
          <w:b/>
          <w:sz w:val="26"/>
          <w:szCs w:val="26"/>
          <w:u w:val="single"/>
        </w:rPr>
        <w:t>H</w:t>
      </w:r>
      <w:r w:rsidR="009C5AE3" w:rsidRPr="009F2B59">
        <w:rPr>
          <w:rFonts w:asciiTheme="minorHAnsi" w:hAnsiTheme="minorHAnsi" w:cstheme="minorHAnsi"/>
          <w:b/>
          <w:sz w:val="26"/>
          <w:szCs w:val="26"/>
          <w:u w:val="single"/>
        </w:rPr>
        <w:t xml:space="preserve">ow </w:t>
      </w:r>
      <w:r w:rsidR="00A572F1">
        <w:rPr>
          <w:rFonts w:asciiTheme="minorHAnsi" w:hAnsiTheme="minorHAnsi" w:cstheme="minorHAnsi"/>
          <w:b/>
          <w:sz w:val="26"/>
          <w:szCs w:val="26"/>
          <w:u w:val="single"/>
        </w:rPr>
        <w:t xml:space="preserve">Part 2 </w:t>
      </w:r>
      <w:r>
        <w:rPr>
          <w:rFonts w:asciiTheme="minorHAnsi" w:hAnsiTheme="minorHAnsi" w:cstheme="minorHAnsi"/>
          <w:b/>
          <w:sz w:val="26"/>
          <w:szCs w:val="26"/>
          <w:u w:val="single"/>
        </w:rPr>
        <w:t xml:space="preserve">addresses enclosures </w:t>
      </w:r>
      <w:r w:rsidR="00751C7A">
        <w:rPr>
          <w:rFonts w:asciiTheme="minorHAnsi" w:hAnsiTheme="minorHAnsi" w:cstheme="minorHAnsi"/>
          <w:b/>
          <w:sz w:val="26"/>
          <w:szCs w:val="26"/>
          <w:u w:val="single"/>
        </w:rPr>
        <w:t>beneath elevated buildings</w:t>
      </w:r>
      <w:r w:rsidR="009C5AE3" w:rsidRPr="009F2B59">
        <w:rPr>
          <w:rFonts w:asciiTheme="minorHAnsi" w:hAnsiTheme="minorHAnsi" w:cstheme="minorHAnsi"/>
          <w:b/>
          <w:sz w:val="26"/>
          <w:szCs w:val="26"/>
        </w:rPr>
        <w:t>:</w:t>
      </w:r>
      <w:r w:rsidR="009C5AE3" w:rsidRPr="009F2B59">
        <w:rPr>
          <w:rFonts w:asciiTheme="minorHAnsi" w:hAnsiTheme="minorHAnsi" w:cstheme="minorHAnsi"/>
          <w:sz w:val="26"/>
          <w:szCs w:val="26"/>
        </w:rPr>
        <w:t xml:space="preserve">  </w:t>
      </w:r>
      <w:r w:rsidR="00A572F1">
        <w:rPr>
          <w:rFonts w:asciiTheme="minorHAnsi" w:hAnsiTheme="minorHAnsi" w:cstheme="minorHAnsi"/>
          <w:sz w:val="26"/>
          <w:szCs w:val="26"/>
        </w:rPr>
        <w:t>Part 2 (buil</w:t>
      </w:r>
      <w:r w:rsidR="009F7C65">
        <w:rPr>
          <w:rFonts w:asciiTheme="minorHAnsi" w:hAnsiTheme="minorHAnsi" w:cstheme="minorHAnsi"/>
          <w:sz w:val="26"/>
          <w:szCs w:val="26"/>
        </w:rPr>
        <w:t>d</w:t>
      </w:r>
      <w:r w:rsidR="00A572F1">
        <w:rPr>
          <w:rFonts w:asciiTheme="minorHAnsi" w:hAnsiTheme="minorHAnsi" w:cstheme="minorHAnsi"/>
          <w:sz w:val="26"/>
          <w:szCs w:val="26"/>
        </w:rPr>
        <w:t>ings)</w:t>
      </w:r>
      <w:r>
        <w:rPr>
          <w:rFonts w:asciiTheme="minorHAnsi" w:hAnsiTheme="minorHAnsi" w:cstheme="minorHAnsi"/>
          <w:sz w:val="26"/>
          <w:szCs w:val="26"/>
        </w:rPr>
        <w:t>,</w:t>
      </w:r>
      <w:r w:rsidR="009C5AE3" w:rsidRPr="009F2B59">
        <w:rPr>
          <w:rFonts w:asciiTheme="minorHAnsi" w:hAnsiTheme="minorHAnsi" w:cstheme="minorHAnsi"/>
          <w:sz w:val="26"/>
          <w:szCs w:val="26"/>
        </w:rPr>
        <w:t xml:space="preserve"> </w:t>
      </w:r>
      <w:r w:rsidRPr="00652373">
        <w:rPr>
          <w:rFonts w:asciiTheme="minorHAnsi" w:hAnsiTheme="minorHAnsi" w:cstheme="minorHAnsi"/>
          <w:sz w:val="26"/>
          <w:szCs w:val="26"/>
        </w:rPr>
        <w:t xml:space="preserve">by reference to ASCE 24, includes the basic NFIP-consistent requirements for enclosed areas and walls below elevated buildings.  Requirements for enclosures under buildings in </w:t>
      </w:r>
      <w:r w:rsidR="001213E9">
        <w:rPr>
          <w:rFonts w:asciiTheme="minorHAnsi" w:hAnsiTheme="minorHAnsi" w:cstheme="minorHAnsi"/>
          <w:sz w:val="26"/>
          <w:szCs w:val="26"/>
        </w:rPr>
        <w:t>all flood zones that start with the letter “</w:t>
      </w:r>
      <w:r w:rsidRPr="00652373">
        <w:rPr>
          <w:rFonts w:asciiTheme="minorHAnsi" w:hAnsiTheme="minorHAnsi" w:cstheme="minorHAnsi"/>
          <w:sz w:val="26"/>
          <w:szCs w:val="26"/>
        </w:rPr>
        <w:t>A</w:t>
      </w:r>
      <w:r w:rsidR="001213E9">
        <w:rPr>
          <w:rFonts w:asciiTheme="minorHAnsi" w:hAnsiTheme="minorHAnsi" w:cstheme="minorHAnsi"/>
          <w:sz w:val="26"/>
          <w:szCs w:val="26"/>
        </w:rPr>
        <w:t>”</w:t>
      </w:r>
      <w:r w:rsidRPr="00652373">
        <w:rPr>
          <w:rFonts w:asciiTheme="minorHAnsi" w:hAnsiTheme="minorHAnsi" w:cstheme="minorHAnsi"/>
          <w:sz w:val="26"/>
          <w:szCs w:val="26"/>
        </w:rPr>
        <w:t xml:space="preserve"> are in ASCE 24 Section 2.6 and requirements for </w:t>
      </w:r>
      <w:r w:rsidR="001213E9">
        <w:rPr>
          <w:rFonts w:asciiTheme="minorHAnsi" w:hAnsiTheme="minorHAnsi" w:cstheme="minorHAnsi"/>
          <w:sz w:val="26"/>
          <w:szCs w:val="26"/>
        </w:rPr>
        <w:t>Zone V/VE</w:t>
      </w:r>
      <w:r w:rsidRPr="00652373">
        <w:rPr>
          <w:rFonts w:asciiTheme="minorHAnsi" w:hAnsiTheme="minorHAnsi" w:cstheme="minorHAnsi"/>
          <w:sz w:val="26"/>
          <w:szCs w:val="26"/>
        </w:rPr>
        <w:t xml:space="preserve"> and CAZ are in ASCE 24 Section 4.6.</w:t>
      </w:r>
      <w:r w:rsidR="00076A36" w:rsidRPr="009F2B59">
        <w:rPr>
          <w:rFonts w:asciiTheme="minorHAnsi" w:hAnsiTheme="minorHAnsi" w:cstheme="minorHAnsi"/>
          <w:sz w:val="26"/>
          <w:szCs w:val="26"/>
        </w:rPr>
        <w:t xml:space="preserve"> </w:t>
      </w:r>
    </w:p>
    <w:p w14:paraId="63B85E71" w14:textId="77777777" w:rsidR="004F6805" w:rsidRPr="009F2B59" w:rsidRDefault="004F6805" w:rsidP="003510BB">
      <w:pPr>
        <w:rPr>
          <w:rFonts w:asciiTheme="minorHAnsi" w:hAnsiTheme="minorHAnsi" w:cstheme="minorHAnsi"/>
          <w:sz w:val="26"/>
          <w:szCs w:val="26"/>
        </w:rPr>
      </w:pPr>
    </w:p>
    <w:p w14:paraId="53317D0B" w14:textId="6B416AA8" w:rsidR="005E49A6" w:rsidRDefault="009C5AE3" w:rsidP="00751C7A">
      <w:pPr>
        <w:rPr>
          <w:rFonts w:asciiTheme="minorHAnsi" w:hAnsiTheme="minorHAnsi" w:cstheme="minorHAnsi"/>
          <w:b/>
          <w:sz w:val="26"/>
          <w:szCs w:val="26"/>
          <w:u w:val="single"/>
        </w:rPr>
      </w:pPr>
      <w:r w:rsidRPr="009F2B59">
        <w:rPr>
          <w:rFonts w:asciiTheme="minorHAnsi" w:hAnsiTheme="minorHAnsi" w:cstheme="minorHAnsi"/>
          <w:b/>
          <w:sz w:val="26"/>
          <w:szCs w:val="26"/>
          <w:u w:val="single"/>
        </w:rPr>
        <w:lastRenderedPageBreak/>
        <w:t xml:space="preserve">How </w:t>
      </w:r>
      <w:r w:rsidR="00A572F1">
        <w:rPr>
          <w:rFonts w:asciiTheme="minorHAnsi" w:hAnsiTheme="minorHAnsi" w:cstheme="minorHAnsi"/>
          <w:b/>
          <w:sz w:val="26"/>
          <w:szCs w:val="26"/>
          <w:u w:val="single"/>
        </w:rPr>
        <w:t>Part 2.5</w:t>
      </w:r>
      <w:r w:rsidR="00D51D60">
        <w:rPr>
          <w:rFonts w:asciiTheme="minorHAnsi" w:hAnsiTheme="minorHAnsi" w:cstheme="minorHAnsi"/>
          <w:b/>
          <w:sz w:val="26"/>
          <w:szCs w:val="26"/>
          <w:u w:val="single"/>
        </w:rPr>
        <w:t xml:space="preserve"> </w:t>
      </w:r>
      <w:r w:rsidR="00652373">
        <w:rPr>
          <w:rFonts w:asciiTheme="minorHAnsi" w:hAnsiTheme="minorHAnsi" w:cstheme="minorHAnsi"/>
          <w:b/>
          <w:sz w:val="26"/>
          <w:szCs w:val="26"/>
          <w:u w:val="single"/>
        </w:rPr>
        <w:t>addresses enclosures</w:t>
      </w:r>
      <w:r w:rsidR="00751C7A">
        <w:rPr>
          <w:rFonts w:asciiTheme="minorHAnsi" w:hAnsiTheme="minorHAnsi" w:cstheme="minorHAnsi"/>
          <w:b/>
          <w:sz w:val="26"/>
          <w:szCs w:val="26"/>
          <w:u w:val="single"/>
        </w:rPr>
        <w:t xml:space="preserve"> beneath elevated dwellings</w:t>
      </w:r>
      <w:r w:rsidRPr="009F2B59">
        <w:rPr>
          <w:rFonts w:asciiTheme="minorHAnsi" w:hAnsiTheme="minorHAnsi" w:cstheme="minorHAnsi"/>
          <w:b/>
          <w:sz w:val="26"/>
          <w:szCs w:val="26"/>
          <w:u w:val="single"/>
        </w:rPr>
        <w:t>:</w:t>
      </w:r>
      <w:r w:rsidRPr="009F2B59">
        <w:rPr>
          <w:rFonts w:asciiTheme="minorHAnsi" w:hAnsiTheme="minorHAnsi" w:cstheme="minorHAnsi"/>
          <w:sz w:val="26"/>
          <w:szCs w:val="26"/>
        </w:rPr>
        <w:t xml:space="preserve">  </w:t>
      </w:r>
      <w:r w:rsidR="00FC483C">
        <w:rPr>
          <w:rFonts w:asciiTheme="minorHAnsi" w:hAnsiTheme="minorHAnsi" w:cstheme="minorHAnsi"/>
          <w:sz w:val="26"/>
          <w:szCs w:val="26"/>
        </w:rPr>
        <w:t>Part 2.5 (dwellings)</w:t>
      </w:r>
      <w:r w:rsidR="00D51D60">
        <w:rPr>
          <w:rFonts w:asciiTheme="minorHAnsi" w:hAnsiTheme="minorHAnsi" w:cstheme="minorHAnsi"/>
          <w:sz w:val="26"/>
          <w:szCs w:val="26"/>
        </w:rPr>
        <w:t xml:space="preserve"> </w:t>
      </w:r>
      <w:r w:rsidR="00652373" w:rsidRPr="00652373">
        <w:rPr>
          <w:rFonts w:asciiTheme="minorHAnsi" w:hAnsiTheme="minorHAnsi" w:cstheme="minorHAnsi"/>
          <w:sz w:val="26"/>
          <w:szCs w:val="26"/>
        </w:rPr>
        <w:t>includes the basic NFIP-consistent requirements for enclosed areas and walls below elevated dwellings.  Requirements for all flood zones are in R322.1, requirements for</w:t>
      </w:r>
      <w:r w:rsidR="00546AB8" w:rsidRPr="00652373">
        <w:rPr>
          <w:rFonts w:asciiTheme="minorHAnsi" w:hAnsiTheme="minorHAnsi" w:cstheme="minorHAnsi"/>
          <w:sz w:val="26"/>
          <w:szCs w:val="26"/>
        </w:rPr>
        <w:t xml:space="preserve"> </w:t>
      </w:r>
      <w:r w:rsidR="00546AB8">
        <w:rPr>
          <w:rFonts w:asciiTheme="minorHAnsi" w:hAnsiTheme="minorHAnsi" w:cstheme="minorHAnsi"/>
          <w:sz w:val="26"/>
          <w:szCs w:val="26"/>
        </w:rPr>
        <w:t>all flood zones that start with the letter “</w:t>
      </w:r>
      <w:r w:rsidR="00546AB8" w:rsidRPr="00652373">
        <w:rPr>
          <w:rFonts w:asciiTheme="minorHAnsi" w:hAnsiTheme="minorHAnsi" w:cstheme="minorHAnsi"/>
          <w:sz w:val="26"/>
          <w:szCs w:val="26"/>
        </w:rPr>
        <w:t>A</w:t>
      </w:r>
      <w:r w:rsidR="00546AB8">
        <w:rPr>
          <w:rFonts w:asciiTheme="minorHAnsi" w:hAnsiTheme="minorHAnsi" w:cstheme="minorHAnsi"/>
          <w:sz w:val="26"/>
          <w:szCs w:val="26"/>
        </w:rPr>
        <w:t>”</w:t>
      </w:r>
      <w:r w:rsidR="00546AB8" w:rsidRPr="00652373">
        <w:rPr>
          <w:rFonts w:asciiTheme="minorHAnsi" w:hAnsiTheme="minorHAnsi" w:cstheme="minorHAnsi"/>
          <w:sz w:val="26"/>
          <w:szCs w:val="26"/>
        </w:rPr>
        <w:t xml:space="preserve"> </w:t>
      </w:r>
      <w:r w:rsidR="00652373" w:rsidRPr="00652373">
        <w:rPr>
          <w:rFonts w:asciiTheme="minorHAnsi" w:hAnsiTheme="minorHAnsi" w:cstheme="minorHAnsi"/>
          <w:sz w:val="26"/>
          <w:szCs w:val="26"/>
        </w:rPr>
        <w:t xml:space="preserve">are in R322.2, and requirements for </w:t>
      </w:r>
      <w:r w:rsidR="001213E9">
        <w:rPr>
          <w:rFonts w:asciiTheme="minorHAnsi" w:hAnsiTheme="minorHAnsi" w:cstheme="minorHAnsi"/>
          <w:sz w:val="26"/>
          <w:szCs w:val="26"/>
        </w:rPr>
        <w:t>Zone V/VE</w:t>
      </w:r>
      <w:r w:rsidR="00652373" w:rsidRPr="00652373">
        <w:rPr>
          <w:rFonts w:asciiTheme="minorHAnsi" w:hAnsiTheme="minorHAnsi" w:cstheme="minorHAnsi"/>
          <w:sz w:val="26"/>
          <w:szCs w:val="26"/>
        </w:rPr>
        <w:t xml:space="preserve"> and CAZ are in R322.3.  </w:t>
      </w:r>
      <w:r w:rsidR="00FC483C">
        <w:rPr>
          <w:rFonts w:asciiTheme="minorHAnsi" w:hAnsiTheme="minorHAnsi" w:cstheme="minorHAnsi"/>
          <w:sz w:val="26"/>
          <w:szCs w:val="26"/>
        </w:rPr>
        <w:t>Part 2.5</w:t>
      </w:r>
      <w:r w:rsidR="00652373" w:rsidRPr="00652373">
        <w:rPr>
          <w:rFonts w:asciiTheme="minorHAnsi" w:hAnsiTheme="minorHAnsi" w:cstheme="minorHAnsi"/>
          <w:sz w:val="26"/>
          <w:szCs w:val="26"/>
        </w:rPr>
        <w:t xml:space="preserve"> treats CAZ like </w:t>
      </w:r>
      <w:r w:rsidR="001213E9">
        <w:rPr>
          <w:rFonts w:asciiTheme="minorHAnsi" w:hAnsiTheme="minorHAnsi" w:cstheme="minorHAnsi"/>
          <w:sz w:val="26"/>
          <w:szCs w:val="26"/>
        </w:rPr>
        <w:t>Zone V/VE</w:t>
      </w:r>
      <w:r w:rsidR="00652373" w:rsidRPr="00652373">
        <w:rPr>
          <w:rFonts w:asciiTheme="minorHAnsi" w:hAnsiTheme="minorHAnsi" w:cstheme="minorHAnsi"/>
          <w:sz w:val="26"/>
          <w:szCs w:val="26"/>
        </w:rPr>
        <w:t xml:space="preserve">, with an exception that </w:t>
      </w:r>
      <w:r w:rsidR="005237F4">
        <w:rPr>
          <w:rFonts w:asciiTheme="minorHAnsi" w:hAnsiTheme="minorHAnsi" w:cstheme="minorHAnsi"/>
          <w:sz w:val="26"/>
          <w:szCs w:val="26"/>
        </w:rPr>
        <w:t>allows</w:t>
      </w:r>
      <w:r w:rsidR="00652373" w:rsidRPr="00652373">
        <w:rPr>
          <w:rFonts w:asciiTheme="minorHAnsi" w:hAnsiTheme="minorHAnsi" w:cstheme="minorHAnsi"/>
          <w:sz w:val="26"/>
          <w:szCs w:val="26"/>
        </w:rPr>
        <w:t xml:space="preserve"> backfilled stem</w:t>
      </w:r>
      <w:r w:rsidR="00596079">
        <w:rPr>
          <w:rFonts w:asciiTheme="minorHAnsi" w:hAnsiTheme="minorHAnsi" w:cstheme="minorHAnsi"/>
          <w:sz w:val="26"/>
          <w:szCs w:val="26"/>
        </w:rPr>
        <w:t xml:space="preserve"> </w:t>
      </w:r>
      <w:r w:rsidR="00652373" w:rsidRPr="00652373">
        <w:rPr>
          <w:rFonts w:asciiTheme="minorHAnsi" w:hAnsiTheme="minorHAnsi" w:cstheme="minorHAnsi"/>
          <w:sz w:val="26"/>
          <w:szCs w:val="26"/>
        </w:rPr>
        <w:t>walls.</w:t>
      </w:r>
    </w:p>
    <w:p w14:paraId="54724903" w14:textId="2E141334" w:rsidR="008F0BD5" w:rsidRPr="009F2B59" w:rsidRDefault="008F0BD5">
      <w:pPr>
        <w:widowControl/>
        <w:spacing w:before="120" w:after="120"/>
        <w:rPr>
          <w:rFonts w:asciiTheme="minorHAnsi" w:hAnsiTheme="minorHAnsi" w:cstheme="minorHAnsi"/>
          <w:b/>
          <w:sz w:val="26"/>
          <w:szCs w:val="26"/>
          <w:u w:val="single"/>
        </w:rPr>
      </w:pPr>
      <w:r w:rsidRPr="009F2B59">
        <w:rPr>
          <w:rFonts w:asciiTheme="minorHAnsi" w:hAnsiTheme="minorHAnsi" w:cstheme="minorHAnsi"/>
          <w:b/>
          <w:sz w:val="26"/>
          <w:szCs w:val="26"/>
          <w:u w:val="single"/>
        </w:rPr>
        <w:t>INSTRUCTIONS</w:t>
      </w:r>
    </w:p>
    <w:p w14:paraId="71EC1C26" w14:textId="09BA6DAA" w:rsidR="00B52CF5" w:rsidRPr="00BE2059" w:rsidRDefault="00B52CF5" w:rsidP="00B52CF5">
      <w:pPr>
        <w:rPr>
          <w:rFonts w:asciiTheme="minorHAnsi" w:hAnsiTheme="minorHAnsi" w:cstheme="minorHAnsi"/>
          <w:sz w:val="26"/>
          <w:szCs w:val="26"/>
        </w:rPr>
      </w:pPr>
      <w:bookmarkStart w:id="4" w:name="_Hlk22891578"/>
      <w:r w:rsidRPr="00BE2059">
        <w:rPr>
          <w:rFonts w:asciiTheme="minorHAnsi" w:hAnsiTheme="minorHAnsi" w:cstheme="minorHAnsi"/>
          <w:b/>
          <w:sz w:val="26"/>
          <w:szCs w:val="26"/>
        </w:rPr>
        <w:t xml:space="preserve">Step </w:t>
      </w:r>
      <w:r>
        <w:rPr>
          <w:rFonts w:asciiTheme="minorHAnsi" w:hAnsiTheme="minorHAnsi" w:cstheme="minorHAnsi"/>
          <w:b/>
          <w:sz w:val="26"/>
          <w:szCs w:val="26"/>
        </w:rPr>
        <w:t>1</w:t>
      </w:r>
      <w:r w:rsidRPr="00BE2059">
        <w:rPr>
          <w:rFonts w:asciiTheme="minorHAnsi" w:hAnsiTheme="minorHAnsi" w:cstheme="minorHAnsi"/>
          <w:b/>
          <w:sz w:val="26"/>
          <w:szCs w:val="26"/>
        </w:rPr>
        <w:t>.</w:t>
      </w:r>
      <w:r>
        <w:rPr>
          <w:rFonts w:asciiTheme="minorHAnsi" w:hAnsiTheme="minorHAnsi" w:cstheme="minorHAnsi"/>
          <w:b/>
          <w:sz w:val="26"/>
          <w:szCs w:val="26"/>
        </w:rPr>
        <w:t xml:space="preserve"> </w:t>
      </w:r>
      <w:bookmarkStart w:id="5" w:name="_Hlk22892870"/>
      <w:r>
        <w:rPr>
          <w:rFonts w:asciiTheme="minorHAnsi" w:hAnsiTheme="minorHAnsi" w:cstheme="minorHAnsi"/>
          <w:b/>
          <w:sz w:val="26"/>
          <w:szCs w:val="26"/>
        </w:rPr>
        <w:t xml:space="preserve">Amend </w:t>
      </w:r>
      <w:r w:rsidR="00FC483C">
        <w:rPr>
          <w:rFonts w:asciiTheme="minorHAnsi" w:hAnsiTheme="minorHAnsi" w:cstheme="minorHAnsi"/>
          <w:b/>
          <w:sz w:val="26"/>
          <w:szCs w:val="26"/>
        </w:rPr>
        <w:t>Part 2</w:t>
      </w:r>
      <w:r>
        <w:rPr>
          <w:rFonts w:asciiTheme="minorHAnsi" w:hAnsiTheme="minorHAnsi" w:cstheme="minorHAnsi"/>
          <w:b/>
          <w:sz w:val="26"/>
          <w:szCs w:val="26"/>
        </w:rPr>
        <w:t xml:space="preserve"> </w:t>
      </w:r>
      <w:r>
        <w:rPr>
          <w:rFonts w:asciiTheme="minorHAnsi" w:hAnsiTheme="minorHAnsi" w:cstheme="minorHAnsi"/>
          <w:b/>
          <w:bCs/>
          <w:sz w:val="26"/>
          <w:szCs w:val="26"/>
        </w:rPr>
        <w:t>(all buildings except 1- and 2-family dwellings and townhouses less than three stories).</w:t>
      </w:r>
      <w:bookmarkEnd w:id="5"/>
      <w:r>
        <w:rPr>
          <w:rFonts w:asciiTheme="minorHAnsi" w:hAnsiTheme="minorHAnsi" w:cstheme="minorHAnsi"/>
          <w:b/>
          <w:bCs/>
          <w:sz w:val="26"/>
          <w:szCs w:val="26"/>
        </w:rPr>
        <w:t xml:space="preserve"> </w:t>
      </w:r>
      <w:bookmarkStart w:id="6" w:name="_Hlk22892880"/>
      <w:r w:rsidR="00751C7A">
        <w:rPr>
          <w:rFonts w:asciiTheme="minorHAnsi" w:hAnsiTheme="minorHAnsi" w:cstheme="minorHAnsi"/>
          <w:bCs/>
          <w:sz w:val="26"/>
          <w:szCs w:val="26"/>
        </w:rPr>
        <w:t>Some communities prohibit enclosures only below dwellings (see Step 2). To apply this limitation to all buildings, a</w:t>
      </w:r>
      <w:r>
        <w:rPr>
          <w:rFonts w:asciiTheme="minorHAnsi" w:hAnsiTheme="minorHAnsi" w:cstheme="minorHAnsi"/>
          <w:sz w:val="26"/>
          <w:szCs w:val="26"/>
        </w:rPr>
        <w:t xml:space="preserve">dd a section to the ordinance that adopts local </w:t>
      </w:r>
      <w:r w:rsidR="00596079">
        <w:rPr>
          <w:rFonts w:asciiTheme="minorHAnsi" w:hAnsiTheme="minorHAnsi" w:cstheme="minorHAnsi"/>
          <w:sz w:val="26"/>
          <w:szCs w:val="26"/>
        </w:rPr>
        <w:t>ame</w:t>
      </w:r>
      <w:r>
        <w:rPr>
          <w:rFonts w:asciiTheme="minorHAnsi" w:hAnsiTheme="minorHAnsi" w:cstheme="minorHAnsi"/>
          <w:sz w:val="26"/>
          <w:szCs w:val="26"/>
        </w:rPr>
        <w:t xml:space="preserve">ndments to </w:t>
      </w:r>
      <w:r w:rsidR="00FC483C">
        <w:rPr>
          <w:rFonts w:asciiTheme="minorHAnsi" w:hAnsiTheme="minorHAnsi" w:cstheme="minorHAnsi"/>
          <w:sz w:val="26"/>
          <w:szCs w:val="26"/>
        </w:rPr>
        <w:t>Part 2</w:t>
      </w:r>
      <w:r>
        <w:rPr>
          <w:rFonts w:asciiTheme="minorHAnsi" w:hAnsiTheme="minorHAnsi" w:cstheme="minorHAnsi"/>
          <w:sz w:val="26"/>
          <w:szCs w:val="26"/>
        </w:rPr>
        <w:t>.  To make the changes discernable, maintain strikethrough and underlining.</w:t>
      </w:r>
      <w:bookmarkEnd w:id="4"/>
      <w:r>
        <w:rPr>
          <w:rFonts w:asciiTheme="minorHAnsi" w:hAnsiTheme="minorHAnsi" w:cstheme="minorHAnsi"/>
          <w:sz w:val="26"/>
          <w:szCs w:val="26"/>
        </w:rPr>
        <w:t xml:space="preserve">  </w:t>
      </w:r>
    </w:p>
    <w:bookmarkEnd w:id="6"/>
    <w:p w14:paraId="1B6C9208" w14:textId="77777777" w:rsidR="008051C9" w:rsidRPr="009F2B59" w:rsidRDefault="008051C9" w:rsidP="008051C9">
      <w:pPr>
        <w:tabs>
          <w:tab w:val="left" w:pos="-720"/>
        </w:tabs>
        <w:suppressAutoHyphens/>
        <w:rPr>
          <w:rFonts w:asciiTheme="minorHAnsi" w:hAnsiTheme="minorHAnsi" w:cstheme="minorHAnsi"/>
          <w:sz w:val="26"/>
          <w:szCs w:val="26"/>
        </w:rPr>
      </w:pPr>
    </w:p>
    <w:tbl>
      <w:tblPr>
        <w:tblStyle w:val="TableGrid"/>
        <w:tblW w:w="0" w:type="auto"/>
        <w:tblInd w:w="738" w:type="dxa"/>
        <w:tblLook w:val="04A0" w:firstRow="1" w:lastRow="0" w:firstColumn="1" w:lastColumn="0" w:noHBand="0" w:noVBand="1"/>
      </w:tblPr>
      <w:tblGrid>
        <w:gridCol w:w="8370"/>
      </w:tblGrid>
      <w:tr w:rsidR="008051C9" w14:paraId="1353F13C" w14:textId="77777777" w:rsidTr="006753EE">
        <w:tc>
          <w:tcPr>
            <w:tcW w:w="8370" w:type="dxa"/>
          </w:tcPr>
          <w:p w14:paraId="6600E8A3" w14:textId="77777777" w:rsidR="000225FA" w:rsidRDefault="000225FA" w:rsidP="009F2B59">
            <w:pPr>
              <w:widowControl/>
              <w:rPr>
                <w:rFonts w:ascii="Arial" w:hAnsi="Arial" w:cs="Arial"/>
                <w:b/>
                <w:sz w:val="22"/>
                <w:szCs w:val="22"/>
              </w:rPr>
            </w:pPr>
          </w:p>
          <w:p w14:paraId="4BE9A695" w14:textId="48FA882B" w:rsidR="000225FA" w:rsidRPr="00EF55D3" w:rsidRDefault="00FC483C" w:rsidP="00DF7693">
            <w:pPr>
              <w:widowControl/>
              <w:rPr>
                <w:rFonts w:ascii="Arial" w:hAnsi="Arial" w:cs="Arial"/>
                <w:i/>
                <w:iCs/>
                <w:sz w:val="22"/>
                <w:szCs w:val="22"/>
              </w:rPr>
            </w:pPr>
            <w:r>
              <w:rPr>
                <w:rFonts w:ascii="Arial" w:hAnsi="Arial" w:cs="Arial"/>
                <w:bCs/>
                <w:i/>
                <w:sz w:val="22"/>
                <w:szCs w:val="22"/>
              </w:rPr>
              <w:t xml:space="preserve">CCR Title 24, Part 2, Section 1612.2 is hereby amended by adding </w:t>
            </w:r>
            <w:r w:rsidR="00652373" w:rsidRPr="00EF55D3">
              <w:rPr>
                <w:rFonts w:ascii="Arial" w:hAnsi="Arial" w:cs="Arial"/>
                <w:i/>
                <w:iCs/>
                <w:sz w:val="22"/>
                <w:szCs w:val="22"/>
              </w:rPr>
              <w:t xml:space="preserve">a new section </w:t>
            </w:r>
            <w:r w:rsidR="00B52CF5" w:rsidRPr="00EF55D3">
              <w:rPr>
                <w:rFonts w:ascii="Arial" w:hAnsi="Arial" w:cs="Arial"/>
                <w:i/>
                <w:iCs/>
                <w:sz w:val="22"/>
                <w:szCs w:val="22"/>
              </w:rPr>
              <w:t>1612.</w:t>
            </w:r>
            <w:r>
              <w:rPr>
                <w:rFonts w:ascii="Arial" w:hAnsi="Arial" w:cs="Arial"/>
                <w:i/>
                <w:iCs/>
                <w:sz w:val="22"/>
                <w:szCs w:val="22"/>
              </w:rPr>
              <w:t>2</w:t>
            </w:r>
            <w:r w:rsidR="00B52CF5" w:rsidRPr="00EF55D3">
              <w:rPr>
                <w:rFonts w:ascii="Arial" w:hAnsi="Arial" w:cs="Arial"/>
                <w:i/>
                <w:iCs/>
                <w:sz w:val="22"/>
                <w:szCs w:val="22"/>
              </w:rPr>
              <w:t xml:space="preserve">.1 </w:t>
            </w:r>
            <w:r w:rsidR="00652373" w:rsidRPr="00EF55D3">
              <w:rPr>
                <w:rFonts w:ascii="Arial" w:hAnsi="Arial" w:cs="Arial"/>
                <w:i/>
                <w:iCs/>
                <w:sz w:val="22"/>
                <w:szCs w:val="22"/>
              </w:rPr>
              <w:t>as follows:</w:t>
            </w:r>
          </w:p>
          <w:p w14:paraId="4300D581" w14:textId="120B9673" w:rsidR="00652373" w:rsidRDefault="00652373" w:rsidP="000225FA">
            <w:pPr>
              <w:widowControl/>
              <w:ind w:left="360"/>
              <w:rPr>
                <w:rFonts w:ascii="Arial" w:hAnsi="Arial" w:cs="Arial"/>
                <w:i/>
                <w:sz w:val="22"/>
                <w:szCs w:val="22"/>
              </w:rPr>
            </w:pPr>
          </w:p>
          <w:p w14:paraId="61977DE3" w14:textId="4E46C55E" w:rsidR="00652373" w:rsidRPr="00DF7693" w:rsidRDefault="00652373" w:rsidP="000225FA">
            <w:pPr>
              <w:widowControl/>
              <w:ind w:left="360"/>
              <w:rPr>
                <w:rFonts w:ascii="Arial" w:hAnsi="Arial" w:cs="Arial"/>
                <w:iCs/>
                <w:sz w:val="22"/>
                <w:szCs w:val="22"/>
                <w:u w:val="single"/>
              </w:rPr>
            </w:pPr>
            <w:r w:rsidRPr="00DF7693">
              <w:rPr>
                <w:rFonts w:ascii="Arial" w:hAnsi="Arial" w:cs="Arial"/>
                <w:b/>
                <w:bCs/>
                <w:iCs/>
                <w:sz w:val="22"/>
                <w:szCs w:val="22"/>
                <w:u w:val="single"/>
              </w:rPr>
              <w:t>1612.</w:t>
            </w:r>
            <w:r w:rsidR="00FC483C">
              <w:rPr>
                <w:rFonts w:ascii="Arial" w:hAnsi="Arial" w:cs="Arial"/>
                <w:b/>
                <w:bCs/>
                <w:iCs/>
                <w:sz w:val="22"/>
                <w:szCs w:val="22"/>
                <w:u w:val="single"/>
              </w:rPr>
              <w:t>2</w:t>
            </w:r>
            <w:r w:rsidRPr="00DF7693">
              <w:rPr>
                <w:rFonts w:ascii="Arial" w:hAnsi="Arial" w:cs="Arial"/>
                <w:b/>
                <w:bCs/>
                <w:iCs/>
                <w:sz w:val="22"/>
                <w:szCs w:val="22"/>
                <w:u w:val="single"/>
              </w:rPr>
              <w:t>.1 Modification of ASCE 24: Enclosure limitations.</w:t>
            </w:r>
            <w:r w:rsidRPr="00DF7693">
              <w:rPr>
                <w:rFonts w:ascii="Arial" w:hAnsi="Arial" w:cs="Arial"/>
                <w:iCs/>
                <w:sz w:val="22"/>
                <w:szCs w:val="22"/>
                <w:u w:val="single"/>
              </w:rPr>
              <w:t xml:space="preserve"> Enclosures below the lowest floor are not permitted.</w:t>
            </w:r>
          </w:p>
          <w:p w14:paraId="6223D29E" w14:textId="77777777" w:rsidR="008051C9" w:rsidRDefault="008051C9" w:rsidP="005A1A60">
            <w:pPr>
              <w:tabs>
                <w:tab w:val="left" w:pos="432"/>
              </w:tabs>
              <w:rPr>
                <w:rFonts w:ascii="Arial" w:hAnsi="Arial" w:cs="Arial"/>
                <w:sz w:val="22"/>
                <w:szCs w:val="22"/>
              </w:rPr>
            </w:pPr>
          </w:p>
        </w:tc>
      </w:tr>
    </w:tbl>
    <w:p w14:paraId="165A4B9D" w14:textId="77777777" w:rsidR="00FE1AC3" w:rsidRPr="009F2B59" w:rsidRDefault="00FE1AC3" w:rsidP="00FE1AC3">
      <w:pPr>
        <w:rPr>
          <w:rFonts w:asciiTheme="minorHAnsi" w:hAnsiTheme="minorHAnsi" w:cstheme="minorHAnsi"/>
          <w:i/>
          <w:sz w:val="26"/>
          <w:szCs w:val="26"/>
        </w:rPr>
      </w:pPr>
    </w:p>
    <w:p w14:paraId="371E2686" w14:textId="249C6E65" w:rsidR="00B52CF5" w:rsidRPr="00B52CF5" w:rsidRDefault="00B52CF5" w:rsidP="00B52CF5">
      <w:pPr>
        <w:widowControl/>
        <w:spacing w:before="120" w:after="120"/>
        <w:rPr>
          <w:rFonts w:asciiTheme="minorHAnsi" w:hAnsiTheme="minorHAnsi" w:cstheme="minorHAnsi"/>
          <w:b/>
          <w:sz w:val="26"/>
          <w:szCs w:val="26"/>
        </w:rPr>
      </w:pPr>
      <w:bookmarkStart w:id="7" w:name="_Hlk22891600"/>
      <w:r w:rsidRPr="00B52CF5">
        <w:rPr>
          <w:rFonts w:asciiTheme="minorHAnsi" w:hAnsiTheme="minorHAnsi" w:cstheme="minorHAnsi"/>
          <w:b/>
          <w:sz w:val="26"/>
          <w:szCs w:val="26"/>
        </w:rPr>
        <w:t xml:space="preserve">Step </w:t>
      </w:r>
      <w:r>
        <w:rPr>
          <w:rFonts w:asciiTheme="minorHAnsi" w:hAnsiTheme="minorHAnsi" w:cstheme="minorHAnsi"/>
          <w:b/>
          <w:sz w:val="26"/>
          <w:szCs w:val="26"/>
        </w:rPr>
        <w:t>2</w:t>
      </w:r>
      <w:r w:rsidRPr="00B52CF5">
        <w:rPr>
          <w:rFonts w:asciiTheme="minorHAnsi" w:hAnsiTheme="minorHAnsi" w:cstheme="minorHAnsi"/>
          <w:b/>
          <w:sz w:val="26"/>
          <w:szCs w:val="26"/>
        </w:rPr>
        <w:t>.</w:t>
      </w:r>
      <w:r w:rsidRPr="00B52CF5">
        <w:rPr>
          <w:rFonts w:asciiTheme="minorHAnsi" w:hAnsiTheme="minorHAnsi" w:cstheme="minorHAnsi"/>
          <w:sz w:val="26"/>
          <w:szCs w:val="26"/>
        </w:rPr>
        <w:t xml:space="preserve">  </w:t>
      </w:r>
      <w:r w:rsidRPr="00B52CF5">
        <w:rPr>
          <w:rFonts w:asciiTheme="minorHAnsi" w:hAnsiTheme="minorHAnsi" w:cstheme="minorHAnsi"/>
          <w:b/>
          <w:bCs/>
          <w:sz w:val="26"/>
          <w:szCs w:val="26"/>
        </w:rPr>
        <w:t xml:space="preserve">Amend </w:t>
      </w:r>
      <w:r w:rsidR="00FC483C">
        <w:rPr>
          <w:rFonts w:asciiTheme="minorHAnsi" w:hAnsiTheme="minorHAnsi" w:cstheme="minorHAnsi"/>
          <w:b/>
          <w:bCs/>
          <w:sz w:val="26"/>
          <w:szCs w:val="26"/>
        </w:rPr>
        <w:t>Part 2.5</w:t>
      </w:r>
      <w:r w:rsidRPr="00B52CF5">
        <w:rPr>
          <w:rFonts w:asciiTheme="minorHAnsi" w:hAnsiTheme="minorHAnsi" w:cstheme="minorHAnsi"/>
          <w:b/>
          <w:bCs/>
          <w:sz w:val="26"/>
          <w:szCs w:val="26"/>
        </w:rPr>
        <w:t xml:space="preserve"> (1- and 2-family dwellings and townhouses less than three stories). </w:t>
      </w:r>
      <w:r w:rsidRPr="00B52CF5">
        <w:rPr>
          <w:rFonts w:asciiTheme="minorHAnsi" w:hAnsiTheme="minorHAnsi" w:cstheme="minorHAnsi"/>
          <w:sz w:val="26"/>
          <w:szCs w:val="26"/>
        </w:rPr>
        <w:t xml:space="preserve">Add a section to the ordinance that adopts local </w:t>
      </w:r>
      <w:r w:rsidR="00596079">
        <w:rPr>
          <w:rFonts w:asciiTheme="minorHAnsi" w:hAnsiTheme="minorHAnsi" w:cstheme="minorHAnsi"/>
          <w:sz w:val="26"/>
          <w:szCs w:val="26"/>
        </w:rPr>
        <w:t>ame</w:t>
      </w:r>
      <w:r w:rsidRPr="00B52CF5">
        <w:rPr>
          <w:rFonts w:asciiTheme="minorHAnsi" w:hAnsiTheme="minorHAnsi" w:cstheme="minorHAnsi"/>
          <w:sz w:val="26"/>
          <w:szCs w:val="26"/>
        </w:rPr>
        <w:t xml:space="preserve">ndments to </w:t>
      </w:r>
      <w:r w:rsidR="00FC483C">
        <w:rPr>
          <w:rFonts w:asciiTheme="minorHAnsi" w:hAnsiTheme="minorHAnsi" w:cstheme="minorHAnsi"/>
          <w:sz w:val="26"/>
          <w:szCs w:val="26"/>
        </w:rPr>
        <w:t>Part 2.5</w:t>
      </w:r>
      <w:r w:rsidRPr="00B52CF5">
        <w:rPr>
          <w:rFonts w:asciiTheme="minorHAnsi" w:hAnsiTheme="minorHAnsi" w:cstheme="minorHAnsi"/>
          <w:sz w:val="26"/>
          <w:szCs w:val="26"/>
        </w:rPr>
        <w:t>.  To make the changes discernable, maintain strikethrough and underlining.</w:t>
      </w:r>
      <w:bookmarkEnd w:id="7"/>
      <w:r w:rsidRPr="00B52CF5">
        <w:rPr>
          <w:rFonts w:asciiTheme="minorHAnsi" w:hAnsiTheme="minorHAnsi" w:cstheme="minorHAnsi"/>
          <w:sz w:val="26"/>
          <w:szCs w:val="26"/>
        </w:rPr>
        <w:t xml:space="preserve">  </w:t>
      </w:r>
    </w:p>
    <w:p w14:paraId="28F7B2A2" w14:textId="360D52EA" w:rsidR="00EB2C45" w:rsidRPr="005A1A60" w:rsidRDefault="00EB2C45" w:rsidP="00EB2C45">
      <w:pPr>
        <w:pStyle w:val="ListParagraph"/>
        <w:widowControl/>
        <w:numPr>
          <w:ilvl w:val="0"/>
          <w:numId w:val="24"/>
        </w:numPr>
        <w:spacing w:after="120"/>
        <w:rPr>
          <w:rFonts w:asciiTheme="minorHAnsi" w:hAnsiTheme="minorHAnsi" w:cstheme="minorHAnsi"/>
          <w:b/>
          <w:sz w:val="26"/>
          <w:szCs w:val="26"/>
        </w:rPr>
      </w:pPr>
      <w:r w:rsidRPr="005A1A60">
        <w:rPr>
          <w:rFonts w:asciiTheme="minorHAnsi" w:hAnsiTheme="minorHAnsi" w:cstheme="minorHAnsi"/>
          <w:sz w:val="26"/>
          <w:szCs w:val="26"/>
        </w:rPr>
        <w:t xml:space="preserve">Contact </w:t>
      </w:r>
      <w:r w:rsidRPr="005A1A60">
        <w:rPr>
          <w:rFonts w:asciiTheme="minorHAnsi" w:hAnsiTheme="minorHAnsi" w:cstheme="minorHAnsi"/>
          <w:b/>
          <w:sz w:val="26"/>
          <w:szCs w:val="26"/>
        </w:rPr>
        <w:t>Technical Support</w:t>
      </w:r>
      <w:r w:rsidRPr="005A1A60">
        <w:rPr>
          <w:rFonts w:asciiTheme="minorHAnsi" w:hAnsiTheme="minorHAnsi" w:cstheme="minorHAnsi"/>
          <w:sz w:val="26"/>
          <w:szCs w:val="26"/>
        </w:rPr>
        <w:t xml:space="preserve"> if your intent is to prohibit enclosures in all </w:t>
      </w:r>
      <w:r w:rsidR="00546AB8" w:rsidRPr="00652373">
        <w:rPr>
          <w:rFonts w:asciiTheme="minorHAnsi" w:hAnsiTheme="minorHAnsi" w:cstheme="minorHAnsi"/>
          <w:sz w:val="26"/>
          <w:szCs w:val="26"/>
        </w:rPr>
        <w:t xml:space="preserve">in </w:t>
      </w:r>
      <w:r w:rsidR="00546AB8">
        <w:rPr>
          <w:rFonts w:asciiTheme="minorHAnsi" w:hAnsiTheme="minorHAnsi" w:cstheme="minorHAnsi"/>
          <w:sz w:val="26"/>
          <w:szCs w:val="26"/>
        </w:rPr>
        <w:t>all flood zones that start with the letter “</w:t>
      </w:r>
      <w:r w:rsidR="00546AB8" w:rsidRPr="00652373">
        <w:rPr>
          <w:rFonts w:asciiTheme="minorHAnsi" w:hAnsiTheme="minorHAnsi" w:cstheme="minorHAnsi"/>
          <w:sz w:val="26"/>
          <w:szCs w:val="26"/>
        </w:rPr>
        <w:t>A</w:t>
      </w:r>
      <w:r w:rsidR="00546AB8">
        <w:rPr>
          <w:rFonts w:asciiTheme="minorHAnsi" w:hAnsiTheme="minorHAnsi" w:cstheme="minorHAnsi"/>
          <w:sz w:val="26"/>
          <w:szCs w:val="26"/>
        </w:rPr>
        <w:t>”</w:t>
      </w:r>
      <w:r w:rsidR="005A1A60">
        <w:rPr>
          <w:rFonts w:asciiTheme="minorHAnsi" w:hAnsiTheme="minorHAnsi" w:cstheme="minorHAnsi"/>
          <w:sz w:val="26"/>
          <w:szCs w:val="26"/>
        </w:rPr>
        <w:t xml:space="preserve">, </w:t>
      </w:r>
      <w:r w:rsidRPr="005A1A60">
        <w:rPr>
          <w:rFonts w:asciiTheme="minorHAnsi" w:hAnsiTheme="minorHAnsi" w:cstheme="minorHAnsi"/>
          <w:sz w:val="26"/>
          <w:szCs w:val="26"/>
        </w:rPr>
        <w:t xml:space="preserve">but to allow perimeter wall foundations (crawlspaces). </w:t>
      </w:r>
    </w:p>
    <w:p w14:paraId="418CA740" w14:textId="3220F926" w:rsidR="00EB2C45" w:rsidRPr="005A1A60" w:rsidRDefault="00EB2C45" w:rsidP="00EB2C45">
      <w:pPr>
        <w:pStyle w:val="ListParagraph"/>
        <w:widowControl/>
        <w:numPr>
          <w:ilvl w:val="0"/>
          <w:numId w:val="24"/>
        </w:numPr>
        <w:spacing w:after="120"/>
        <w:rPr>
          <w:rFonts w:asciiTheme="minorHAnsi" w:hAnsiTheme="minorHAnsi" w:cstheme="minorHAnsi"/>
          <w:b/>
          <w:sz w:val="26"/>
          <w:szCs w:val="26"/>
        </w:rPr>
      </w:pPr>
      <w:r w:rsidRPr="005A1A60">
        <w:rPr>
          <w:rFonts w:asciiTheme="minorHAnsi" w:hAnsiTheme="minorHAnsi" w:cstheme="minorHAnsi"/>
          <w:sz w:val="26"/>
          <w:szCs w:val="26"/>
        </w:rPr>
        <w:t xml:space="preserve">Note this language prohibits enclosures in </w:t>
      </w:r>
      <w:r w:rsidR="001213E9">
        <w:rPr>
          <w:rFonts w:asciiTheme="minorHAnsi" w:hAnsiTheme="minorHAnsi" w:cstheme="minorHAnsi"/>
          <w:sz w:val="26"/>
          <w:szCs w:val="26"/>
        </w:rPr>
        <w:t>Zone V/VE</w:t>
      </w:r>
      <w:r w:rsidRPr="005A1A60">
        <w:rPr>
          <w:rFonts w:asciiTheme="minorHAnsi" w:hAnsiTheme="minorHAnsi" w:cstheme="minorHAnsi"/>
          <w:sz w:val="26"/>
          <w:szCs w:val="26"/>
        </w:rPr>
        <w:t xml:space="preserve"> by not allowing breakaway walls that form enclosures.  An alternative is shown to allow insect screening or open lattice.</w:t>
      </w:r>
    </w:p>
    <w:tbl>
      <w:tblPr>
        <w:tblStyle w:val="TableGrid"/>
        <w:tblW w:w="0" w:type="auto"/>
        <w:tblInd w:w="738" w:type="dxa"/>
        <w:tblLook w:val="04A0" w:firstRow="1" w:lastRow="0" w:firstColumn="1" w:lastColumn="0" w:noHBand="0" w:noVBand="1"/>
      </w:tblPr>
      <w:tblGrid>
        <w:gridCol w:w="8370"/>
      </w:tblGrid>
      <w:tr w:rsidR="008051C9" w14:paraId="0ABAEBDD" w14:textId="77777777" w:rsidTr="009F7C65">
        <w:tc>
          <w:tcPr>
            <w:tcW w:w="8370" w:type="dxa"/>
          </w:tcPr>
          <w:p w14:paraId="03A428ED" w14:textId="2043CD5E" w:rsidR="00B52CF5" w:rsidRPr="00191F99" w:rsidRDefault="002F3278" w:rsidP="00B52CF5">
            <w:pPr>
              <w:pStyle w:val="StyleIBC1"/>
              <w:spacing w:after="60"/>
              <w:rPr>
                <w:rFonts w:ascii="Arial" w:hAnsi="Arial" w:cs="Arial"/>
                <w:i/>
              </w:rPr>
            </w:pPr>
            <w:r>
              <w:rPr>
                <w:rFonts w:ascii="Arial" w:hAnsi="Arial" w:cs="Arial"/>
                <w:bCs/>
                <w:i/>
              </w:rPr>
              <w:t xml:space="preserve">CCR Title 24, Part 2, </w:t>
            </w:r>
            <w:r w:rsidR="00B52CF5">
              <w:rPr>
                <w:rFonts w:ascii="Arial" w:hAnsi="Arial" w:cs="Arial"/>
                <w:i/>
              </w:rPr>
              <w:t>Section R322</w:t>
            </w:r>
            <w:r w:rsidR="005A1A60">
              <w:rPr>
                <w:rFonts w:ascii="Arial" w:hAnsi="Arial" w:cs="Arial"/>
                <w:i/>
              </w:rPr>
              <w:t>.2</w:t>
            </w:r>
            <w:r w:rsidR="00B52CF5">
              <w:rPr>
                <w:rFonts w:ascii="Arial" w:hAnsi="Arial" w:cs="Arial"/>
                <w:i/>
              </w:rPr>
              <w:t xml:space="preserve"> is hereby amended</w:t>
            </w:r>
            <w:r w:rsidR="00B52CF5" w:rsidRPr="00191F99">
              <w:rPr>
                <w:rFonts w:ascii="Arial" w:hAnsi="Arial" w:cs="Arial"/>
                <w:i/>
              </w:rPr>
              <w:t xml:space="preserve"> as follows:</w:t>
            </w:r>
          </w:p>
          <w:p w14:paraId="25097B68" w14:textId="77777777" w:rsidR="00B52CF5" w:rsidRPr="005479E2" w:rsidRDefault="00B52CF5" w:rsidP="008051C9">
            <w:pPr>
              <w:ind w:left="360"/>
              <w:rPr>
                <w:rFonts w:ascii="Arial" w:hAnsi="Arial" w:cs="Arial"/>
                <w:i/>
                <w:sz w:val="22"/>
                <w:szCs w:val="22"/>
              </w:rPr>
            </w:pPr>
          </w:p>
          <w:p w14:paraId="5B6420C1" w14:textId="77777777" w:rsidR="005479E2" w:rsidRPr="005479E2" w:rsidRDefault="005479E2" w:rsidP="005479E2">
            <w:pPr>
              <w:pStyle w:val="IBCRequirement"/>
              <w:keepNext w:val="0"/>
              <w:rPr>
                <w:sz w:val="22"/>
              </w:rPr>
            </w:pPr>
            <w:r w:rsidRPr="005479E2">
              <w:rPr>
                <w:b/>
                <w:bCs/>
                <w:sz w:val="22"/>
              </w:rPr>
              <w:t xml:space="preserve">R322.2.2 Enclosed area below design flood elevation. </w:t>
            </w:r>
            <w:r w:rsidRPr="005479E2">
              <w:rPr>
                <w:sz w:val="22"/>
              </w:rPr>
              <w:t xml:space="preserve">Enclosed areas, including crawl spaces, that are below the design flood elevation </w:t>
            </w:r>
            <w:r w:rsidRPr="005479E2">
              <w:rPr>
                <w:sz w:val="22"/>
                <w:u w:val="single"/>
              </w:rPr>
              <w:t>are not permitted</w:t>
            </w:r>
            <w:r w:rsidRPr="005479E2">
              <w:rPr>
                <w:sz w:val="22"/>
              </w:rPr>
              <w:t xml:space="preserve">. </w:t>
            </w:r>
            <w:r w:rsidRPr="005479E2">
              <w:rPr>
                <w:strike/>
                <w:sz w:val="22"/>
              </w:rPr>
              <w:t>shall:</w:t>
            </w:r>
          </w:p>
          <w:p w14:paraId="2B496DF9" w14:textId="77777777" w:rsidR="005479E2" w:rsidRPr="005479E2" w:rsidRDefault="005479E2" w:rsidP="005479E2">
            <w:pPr>
              <w:pStyle w:val="IBClistnumber"/>
              <w:numPr>
                <w:ilvl w:val="0"/>
                <w:numId w:val="25"/>
              </w:numPr>
              <w:tabs>
                <w:tab w:val="clear" w:pos="792"/>
              </w:tabs>
              <w:ind w:left="1152"/>
              <w:rPr>
                <w:rFonts w:ascii="Arial" w:hAnsi="Arial" w:cs="Arial"/>
                <w:strike/>
                <w:sz w:val="22"/>
              </w:rPr>
            </w:pPr>
            <w:r w:rsidRPr="005479E2">
              <w:rPr>
                <w:rFonts w:ascii="Arial" w:hAnsi="Arial" w:cs="Arial"/>
                <w:strike/>
                <w:sz w:val="22"/>
              </w:rPr>
              <w:t>Be used solely for parking of vehicles, building access or storage.</w:t>
            </w:r>
          </w:p>
          <w:p w14:paraId="3B0CA57A" w14:textId="77777777" w:rsidR="005479E2" w:rsidRPr="005479E2" w:rsidRDefault="005479E2" w:rsidP="005479E2">
            <w:pPr>
              <w:pStyle w:val="IBClistnumber"/>
              <w:numPr>
                <w:ilvl w:val="0"/>
                <w:numId w:val="10"/>
              </w:numPr>
              <w:tabs>
                <w:tab w:val="clear" w:pos="792"/>
              </w:tabs>
              <w:ind w:left="1152"/>
              <w:rPr>
                <w:rFonts w:ascii="Arial" w:hAnsi="Arial" w:cs="Arial"/>
                <w:strike/>
                <w:sz w:val="22"/>
              </w:rPr>
            </w:pPr>
            <w:r w:rsidRPr="005479E2">
              <w:rPr>
                <w:rFonts w:ascii="Arial" w:hAnsi="Arial" w:cs="Arial"/>
                <w:strike/>
                <w:sz w:val="22"/>
              </w:rPr>
              <w:t>Be provided with flood openings that meet the following criteria:</w:t>
            </w:r>
          </w:p>
          <w:p w14:paraId="6F34FFC0" w14:textId="77777777" w:rsidR="005479E2" w:rsidRPr="005479E2" w:rsidRDefault="005479E2" w:rsidP="005479E2">
            <w:pPr>
              <w:tabs>
                <w:tab w:val="left" w:pos="432"/>
              </w:tabs>
              <w:ind w:left="1584" w:hanging="432"/>
              <w:rPr>
                <w:rFonts w:ascii="Arial" w:hAnsi="Arial" w:cs="Arial"/>
                <w:strike/>
                <w:sz w:val="22"/>
                <w:szCs w:val="22"/>
              </w:rPr>
            </w:pPr>
            <w:r w:rsidRPr="005479E2">
              <w:rPr>
                <w:rFonts w:ascii="Arial" w:hAnsi="Arial" w:cs="Arial"/>
                <w:strike/>
                <w:sz w:val="22"/>
                <w:szCs w:val="22"/>
              </w:rPr>
              <w:t xml:space="preserve">2.1. There shall be a minimum of two openings on different sides of each enclosed area; if a building has more than one enclosed area below the design flood elevation, each area shall have openings on </w:t>
            </w:r>
            <w:r w:rsidRPr="005479E2">
              <w:rPr>
                <w:rFonts w:ascii="Arial" w:hAnsi="Arial" w:cs="Arial"/>
                <w:strike/>
                <w:sz w:val="22"/>
                <w:szCs w:val="22"/>
              </w:rPr>
              <w:lastRenderedPageBreak/>
              <w:t>exterior walls.</w:t>
            </w:r>
          </w:p>
          <w:p w14:paraId="5F445F0F" w14:textId="77777777" w:rsidR="005479E2" w:rsidRPr="005479E2" w:rsidRDefault="005479E2" w:rsidP="005479E2">
            <w:pPr>
              <w:pStyle w:val="CommentText"/>
              <w:tabs>
                <w:tab w:val="left" w:pos="432"/>
              </w:tabs>
              <w:ind w:left="1584" w:hanging="432"/>
              <w:rPr>
                <w:rFonts w:ascii="Arial" w:hAnsi="Arial" w:cs="Arial"/>
                <w:strike/>
                <w:sz w:val="22"/>
                <w:szCs w:val="22"/>
              </w:rPr>
            </w:pPr>
            <w:r w:rsidRPr="005479E2">
              <w:rPr>
                <w:rFonts w:ascii="Arial" w:hAnsi="Arial" w:cs="Arial"/>
                <w:strike/>
                <w:sz w:val="22"/>
                <w:szCs w:val="22"/>
              </w:rPr>
              <w:t>2.2. The total net area of all openings shall be at least 1 square inch (645 mm²) for each square foot (0.093 m²) of enclosed area, or the openings shall be designed and the construction documents shall include a statement by a registered design professional that the design of the openings will provide for equalization of hydrostatic flood forces on exterior walls by allowing for the automatic entry and exit of floodwaters as specified in Section 2.6.2.2 of ASCE 24.</w:t>
            </w:r>
          </w:p>
          <w:p w14:paraId="5CFFBB75" w14:textId="77777777" w:rsidR="005479E2" w:rsidRPr="005479E2" w:rsidRDefault="005479E2" w:rsidP="005479E2">
            <w:pPr>
              <w:tabs>
                <w:tab w:val="left" w:pos="432"/>
              </w:tabs>
              <w:ind w:left="1584" w:hanging="432"/>
              <w:rPr>
                <w:rFonts w:ascii="Arial" w:hAnsi="Arial" w:cs="Arial"/>
                <w:strike/>
                <w:sz w:val="22"/>
                <w:szCs w:val="22"/>
              </w:rPr>
            </w:pPr>
            <w:r w:rsidRPr="005479E2">
              <w:rPr>
                <w:rFonts w:ascii="Arial" w:hAnsi="Arial" w:cs="Arial"/>
                <w:strike/>
                <w:sz w:val="22"/>
                <w:szCs w:val="22"/>
              </w:rPr>
              <w:t>2.3. The bottom of each opening shall be 1 foot (305 mm) or less above the adjacent ground level.</w:t>
            </w:r>
          </w:p>
          <w:p w14:paraId="59C75EC1" w14:textId="77777777" w:rsidR="005479E2" w:rsidRPr="005479E2" w:rsidRDefault="005479E2" w:rsidP="005479E2">
            <w:pPr>
              <w:tabs>
                <w:tab w:val="left" w:pos="432"/>
              </w:tabs>
              <w:ind w:left="1584" w:hanging="432"/>
              <w:rPr>
                <w:rFonts w:ascii="Arial" w:hAnsi="Arial" w:cs="Arial"/>
                <w:strike/>
                <w:sz w:val="22"/>
                <w:szCs w:val="22"/>
              </w:rPr>
            </w:pPr>
            <w:r w:rsidRPr="005479E2">
              <w:rPr>
                <w:rFonts w:ascii="Arial" w:hAnsi="Arial" w:cs="Arial"/>
                <w:strike/>
                <w:sz w:val="22"/>
                <w:szCs w:val="22"/>
              </w:rPr>
              <w:t xml:space="preserve">2.4. Openings shall be not less than 3 inches (76 mm) in any direction in the plane of the wall. </w:t>
            </w:r>
          </w:p>
          <w:p w14:paraId="508AF77E" w14:textId="77777777" w:rsidR="005479E2" w:rsidRPr="005479E2" w:rsidRDefault="005479E2" w:rsidP="005479E2">
            <w:pPr>
              <w:tabs>
                <w:tab w:val="left" w:pos="432"/>
              </w:tabs>
              <w:ind w:left="1584" w:hanging="432"/>
              <w:rPr>
                <w:rFonts w:ascii="Arial" w:hAnsi="Arial" w:cs="Arial"/>
                <w:strike/>
                <w:sz w:val="22"/>
                <w:szCs w:val="22"/>
              </w:rPr>
            </w:pPr>
            <w:r w:rsidRPr="005479E2">
              <w:rPr>
                <w:rFonts w:ascii="Arial" w:hAnsi="Arial" w:cs="Arial"/>
                <w:strike/>
                <w:sz w:val="22"/>
                <w:szCs w:val="22"/>
              </w:rPr>
              <w:t>2.5. Any louvers, screens or other opening covers shall allow the automatic flow of floodwaters into and out of the enclosed area.</w:t>
            </w:r>
          </w:p>
          <w:p w14:paraId="573EB6AA" w14:textId="77777777" w:rsidR="00DF7693" w:rsidRPr="005479E2" w:rsidRDefault="005479E2" w:rsidP="005479E2">
            <w:pPr>
              <w:ind w:left="864"/>
              <w:rPr>
                <w:rFonts w:ascii="Arial" w:hAnsi="Arial" w:cs="Arial"/>
                <w:strike/>
                <w:sz w:val="22"/>
                <w:szCs w:val="22"/>
              </w:rPr>
            </w:pPr>
            <w:r w:rsidRPr="005479E2">
              <w:rPr>
                <w:rFonts w:ascii="Arial" w:hAnsi="Arial" w:cs="Arial"/>
                <w:strike/>
                <w:sz w:val="22"/>
                <w:szCs w:val="22"/>
              </w:rPr>
              <w:t>2.6. Openings installed in doors and windows, that meet requirements 2.1 through 2.5, are acceptable; however, doors and windows without installed openings do not meet the requirements of this section.</w:t>
            </w:r>
          </w:p>
          <w:p w14:paraId="51998CC9" w14:textId="5E2A5170" w:rsidR="005479E2" w:rsidRDefault="005479E2" w:rsidP="005A1A60">
            <w:pPr>
              <w:rPr>
                <w:rFonts w:ascii="Arial" w:hAnsi="Arial" w:cs="Arial"/>
                <w:sz w:val="22"/>
                <w:szCs w:val="22"/>
              </w:rPr>
            </w:pPr>
          </w:p>
        </w:tc>
      </w:tr>
      <w:tr w:rsidR="005A1A60" w14:paraId="4C594055" w14:textId="77777777" w:rsidTr="009F7C65">
        <w:tc>
          <w:tcPr>
            <w:tcW w:w="8370" w:type="dxa"/>
          </w:tcPr>
          <w:p w14:paraId="73A15EDF" w14:textId="484737E3" w:rsidR="005A1A60" w:rsidRPr="00191F99" w:rsidRDefault="002F3278" w:rsidP="005A1A60">
            <w:pPr>
              <w:pStyle w:val="StyleIBC1"/>
              <w:spacing w:after="60"/>
              <w:rPr>
                <w:rFonts w:ascii="Arial" w:hAnsi="Arial" w:cs="Arial"/>
                <w:i/>
              </w:rPr>
            </w:pPr>
            <w:r>
              <w:rPr>
                <w:rFonts w:ascii="Arial" w:hAnsi="Arial" w:cs="Arial"/>
                <w:bCs/>
                <w:i/>
              </w:rPr>
              <w:lastRenderedPageBreak/>
              <w:t xml:space="preserve">CCR Title 24, Part 2, </w:t>
            </w:r>
            <w:r w:rsidR="005A1A60">
              <w:rPr>
                <w:rFonts w:ascii="Arial" w:hAnsi="Arial" w:cs="Arial"/>
                <w:i/>
              </w:rPr>
              <w:t>Section R322.3 is hereby amended</w:t>
            </w:r>
            <w:r w:rsidR="005A1A60" w:rsidRPr="00191F99">
              <w:rPr>
                <w:rFonts w:ascii="Arial" w:hAnsi="Arial" w:cs="Arial"/>
                <w:i/>
              </w:rPr>
              <w:t xml:space="preserve"> as follows:</w:t>
            </w:r>
          </w:p>
          <w:p w14:paraId="4B4CC7C5" w14:textId="77777777" w:rsidR="005A1A60" w:rsidRPr="005479E2" w:rsidRDefault="005A1A60" w:rsidP="005A1A60">
            <w:pPr>
              <w:rPr>
                <w:rFonts w:ascii="Arial" w:hAnsi="Arial" w:cs="Arial"/>
                <w:sz w:val="22"/>
                <w:szCs w:val="22"/>
              </w:rPr>
            </w:pPr>
          </w:p>
          <w:p w14:paraId="5B98BBF0" w14:textId="77777777" w:rsidR="005A1A60" w:rsidRPr="005479E2" w:rsidRDefault="005A1A60" w:rsidP="005A1A60">
            <w:pPr>
              <w:pStyle w:val="IBCRequirement"/>
              <w:keepNext w:val="0"/>
              <w:rPr>
                <w:sz w:val="22"/>
              </w:rPr>
            </w:pPr>
            <w:r w:rsidRPr="005479E2">
              <w:rPr>
                <w:b/>
                <w:bCs/>
                <w:sz w:val="22"/>
              </w:rPr>
              <w:t>R322.3.4 Walls below design flood elevation.</w:t>
            </w:r>
            <w:r w:rsidRPr="005479E2">
              <w:rPr>
                <w:sz w:val="22"/>
              </w:rPr>
              <w:t xml:space="preserve"> Walls and partitions are </w:t>
            </w:r>
            <w:r w:rsidRPr="005479E2">
              <w:rPr>
                <w:sz w:val="22"/>
                <w:u w:val="single"/>
              </w:rPr>
              <w:t>not</w:t>
            </w:r>
            <w:r w:rsidRPr="005479E2">
              <w:rPr>
                <w:sz w:val="22"/>
              </w:rPr>
              <w:t xml:space="preserve"> permitted below the elevated floor</w:t>
            </w:r>
            <w:proofErr w:type="gramStart"/>
            <w:r w:rsidRPr="005479E2">
              <w:rPr>
                <w:sz w:val="22"/>
                <w:u w:val="single"/>
              </w:rPr>
              <w:t xml:space="preserve">. </w:t>
            </w:r>
            <w:r w:rsidRPr="005479E2">
              <w:rPr>
                <w:strike/>
                <w:sz w:val="22"/>
              </w:rPr>
              <w:t>,</w:t>
            </w:r>
            <w:proofErr w:type="gramEnd"/>
            <w:r w:rsidRPr="005479E2">
              <w:rPr>
                <w:strike/>
                <w:sz w:val="22"/>
              </w:rPr>
              <w:t xml:space="preserve"> provided that such walls and partitions are not part of the structural support of the building or structure and:</w:t>
            </w:r>
          </w:p>
          <w:p w14:paraId="0D6ECB32" w14:textId="77777777" w:rsidR="005A1A60" w:rsidRPr="005479E2" w:rsidRDefault="005A1A60" w:rsidP="005A1A60">
            <w:pPr>
              <w:pStyle w:val="IBClistnumber"/>
              <w:numPr>
                <w:ilvl w:val="0"/>
                <w:numId w:val="25"/>
              </w:numPr>
              <w:tabs>
                <w:tab w:val="clear" w:pos="792"/>
              </w:tabs>
              <w:ind w:left="1152"/>
              <w:rPr>
                <w:rFonts w:ascii="Arial" w:hAnsi="Arial" w:cs="Arial"/>
                <w:b/>
                <w:bCs/>
                <w:i/>
                <w:strike/>
                <w:sz w:val="22"/>
              </w:rPr>
            </w:pPr>
            <w:r w:rsidRPr="005479E2">
              <w:rPr>
                <w:rFonts w:ascii="Arial" w:hAnsi="Arial" w:cs="Arial"/>
                <w:strike/>
                <w:sz w:val="22"/>
              </w:rPr>
              <w:t>Electrical, mechanical, and plumbing system components are not to be mounted on or penetrate through walls that are designed to break away under flood loads; and</w:t>
            </w:r>
          </w:p>
          <w:p w14:paraId="6E75EAF1" w14:textId="77777777" w:rsidR="005A1A60" w:rsidRPr="005479E2" w:rsidRDefault="005A1A60" w:rsidP="005A1A60">
            <w:pPr>
              <w:pStyle w:val="IBClistnumber"/>
              <w:numPr>
                <w:ilvl w:val="0"/>
                <w:numId w:val="10"/>
              </w:numPr>
              <w:tabs>
                <w:tab w:val="clear" w:pos="792"/>
              </w:tabs>
              <w:ind w:left="1152"/>
              <w:rPr>
                <w:rFonts w:ascii="Arial" w:hAnsi="Arial" w:cs="Arial"/>
                <w:b/>
                <w:bCs/>
                <w:i/>
                <w:strike/>
                <w:sz w:val="22"/>
              </w:rPr>
            </w:pPr>
            <w:r w:rsidRPr="005479E2">
              <w:rPr>
                <w:rFonts w:ascii="Arial" w:hAnsi="Arial" w:cs="Arial"/>
                <w:strike/>
                <w:sz w:val="22"/>
              </w:rPr>
              <w:t>Are constructed with insect screening or open lattice; or</w:t>
            </w:r>
          </w:p>
          <w:p w14:paraId="3CC31F14" w14:textId="77777777" w:rsidR="005A1A60" w:rsidRPr="005479E2" w:rsidRDefault="005A1A60" w:rsidP="005A1A60">
            <w:pPr>
              <w:pStyle w:val="IBClistnumber"/>
              <w:numPr>
                <w:ilvl w:val="0"/>
                <w:numId w:val="10"/>
              </w:numPr>
              <w:tabs>
                <w:tab w:val="clear" w:pos="792"/>
              </w:tabs>
              <w:ind w:left="1152"/>
              <w:rPr>
                <w:rFonts w:ascii="Arial" w:hAnsi="Arial" w:cs="Arial"/>
                <w:strike/>
                <w:sz w:val="22"/>
              </w:rPr>
            </w:pPr>
            <w:r w:rsidRPr="005479E2">
              <w:rPr>
                <w:rFonts w:ascii="Arial" w:hAnsi="Arial" w:cs="Arial"/>
                <w:strike/>
                <w:sz w:val="22"/>
              </w:rPr>
              <w:t xml:space="preserve">Are designed to break away or collapse without causing collapse, </w:t>
            </w:r>
            <w:proofErr w:type="gramStart"/>
            <w:r w:rsidRPr="005479E2">
              <w:rPr>
                <w:rFonts w:ascii="Arial" w:hAnsi="Arial" w:cs="Arial"/>
                <w:strike/>
                <w:sz w:val="22"/>
              </w:rPr>
              <w:t>displacement</w:t>
            </w:r>
            <w:proofErr w:type="gramEnd"/>
            <w:r w:rsidRPr="005479E2">
              <w:rPr>
                <w:rFonts w:ascii="Arial" w:hAnsi="Arial" w:cs="Arial"/>
                <w:strike/>
                <w:sz w:val="22"/>
              </w:rPr>
              <w:t xml:space="preserve"> or other structural damage to the elevated portion of the building or supporting foundation system. Such walls, framing and connections shall have a design safe loading resistance of not less than 10 (470 Pa) and no more than 20 pounds per square foot (958 Pa); or</w:t>
            </w:r>
          </w:p>
          <w:p w14:paraId="248C221A" w14:textId="77777777" w:rsidR="005A1A60" w:rsidRPr="005479E2" w:rsidRDefault="005A1A60" w:rsidP="005A1A60">
            <w:pPr>
              <w:pStyle w:val="IBClistnumber"/>
              <w:numPr>
                <w:ilvl w:val="0"/>
                <w:numId w:val="10"/>
              </w:numPr>
              <w:tabs>
                <w:tab w:val="clear" w:pos="792"/>
              </w:tabs>
              <w:ind w:left="1152"/>
              <w:rPr>
                <w:rFonts w:ascii="Arial" w:hAnsi="Arial" w:cs="Arial"/>
                <w:strike/>
                <w:sz w:val="22"/>
              </w:rPr>
            </w:pPr>
            <w:r w:rsidRPr="005479E2">
              <w:rPr>
                <w:rFonts w:ascii="Arial" w:hAnsi="Arial" w:cs="Arial"/>
                <w:strike/>
                <w:sz w:val="22"/>
              </w:rPr>
              <w:t xml:space="preserve">Where wind loading values of this code exceed 20 pounds per square foot (958 Pa), the construction documents shall include documentation prepared and sealed by a registered design professional that: </w:t>
            </w:r>
          </w:p>
          <w:p w14:paraId="2F04FF23" w14:textId="77777777" w:rsidR="005A1A60" w:rsidRPr="005479E2" w:rsidRDefault="005A1A60" w:rsidP="005A1A60">
            <w:pPr>
              <w:tabs>
                <w:tab w:val="left" w:pos="432"/>
              </w:tabs>
              <w:ind w:left="1542"/>
              <w:rPr>
                <w:rFonts w:ascii="Arial" w:hAnsi="Arial" w:cs="Arial"/>
                <w:strike/>
                <w:sz w:val="22"/>
                <w:szCs w:val="22"/>
              </w:rPr>
            </w:pPr>
            <w:r w:rsidRPr="005479E2">
              <w:rPr>
                <w:rFonts w:ascii="Arial" w:hAnsi="Arial" w:cs="Arial"/>
                <w:strike/>
                <w:sz w:val="22"/>
                <w:szCs w:val="22"/>
              </w:rPr>
              <w:t xml:space="preserve">4.1. The walls and partitions below the design flood elevation have been designed to collapse from a water load less than that which would occur during the design flood. </w:t>
            </w:r>
          </w:p>
          <w:p w14:paraId="6DBCA453" w14:textId="77777777" w:rsidR="005A1A60" w:rsidRPr="005479E2" w:rsidRDefault="005A1A60" w:rsidP="005A1A60">
            <w:pPr>
              <w:tabs>
                <w:tab w:val="left" w:pos="432"/>
              </w:tabs>
              <w:spacing w:after="240"/>
              <w:ind w:left="1541"/>
              <w:rPr>
                <w:rFonts w:ascii="Arial" w:hAnsi="Arial" w:cs="Arial"/>
                <w:sz w:val="22"/>
                <w:szCs w:val="22"/>
              </w:rPr>
            </w:pPr>
            <w:r w:rsidRPr="005479E2">
              <w:rPr>
                <w:rFonts w:ascii="Arial" w:hAnsi="Arial" w:cs="Arial"/>
                <w:strike/>
                <w:sz w:val="22"/>
                <w:szCs w:val="22"/>
              </w:rPr>
              <w:t>4.2. The elevated portion of the building and supporting foundation system have been designed to withstand the effects of wind and flood loads acting simultaneously on all building components (structural and nonstructural). Water loading values used shall be those associated with the design flood. Wind loading values used shall be those required by this code</w:t>
            </w:r>
            <w:r w:rsidRPr="005479E2">
              <w:rPr>
                <w:rFonts w:ascii="Arial" w:hAnsi="Arial" w:cs="Arial"/>
                <w:sz w:val="22"/>
                <w:szCs w:val="22"/>
              </w:rPr>
              <w:t xml:space="preserve">. </w:t>
            </w:r>
          </w:p>
          <w:p w14:paraId="78F8F058" w14:textId="77777777" w:rsidR="005A1A60" w:rsidRPr="005479E2" w:rsidRDefault="005A1A60" w:rsidP="005A1A60">
            <w:pPr>
              <w:pStyle w:val="IBCRequirement"/>
              <w:keepNext w:val="0"/>
              <w:rPr>
                <w:sz w:val="22"/>
              </w:rPr>
            </w:pPr>
            <w:r w:rsidRPr="005479E2">
              <w:rPr>
                <w:b/>
                <w:bCs/>
                <w:sz w:val="22"/>
              </w:rPr>
              <w:lastRenderedPageBreak/>
              <w:t>R322.3.5 Enclosed areas below design flood elevation.</w:t>
            </w:r>
            <w:r w:rsidRPr="005479E2">
              <w:rPr>
                <w:sz w:val="22"/>
              </w:rPr>
              <w:t xml:space="preserve"> Enclosed areas below the design flood elevation </w:t>
            </w:r>
            <w:r w:rsidRPr="005479E2">
              <w:rPr>
                <w:sz w:val="22"/>
                <w:u w:val="single"/>
              </w:rPr>
              <w:t>are not permitted</w:t>
            </w:r>
            <w:r w:rsidRPr="005479E2">
              <w:rPr>
                <w:sz w:val="22"/>
              </w:rPr>
              <w:t xml:space="preserve"> </w:t>
            </w:r>
            <w:r w:rsidRPr="005479E2">
              <w:rPr>
                <w:strike/>
                <w:sz w:val="22"/>
              </w:rPr>
              <w:t>shall be used solely for parking of vehicles, building access or storage</w:t>
            </w:r>
            <w:r w:rsidRPr="005479E2">
              <w:rPr>
                <w:sz w:val="22"/>
              </w:rPr>
              <w:t>.</w:t>
            </w:r>
          </w:p>
          <w:p w14:paraId="01296B44" w14:textId="77777777" w:rsidR="005A1A60" w:rsidRPr="005479E2" w:rsidRDefault="005A1A60" w:rsidP="005A1A60">
            <w:pPr>
              <w:pStyle w:val="IBCRequirement"/>
              <w:keepNext w:val="0"/>
              <w:rPr>
                <w:sz w:val="22"/>
              </w:rPr>
            </w:pPr>
          </w:p>
          <w:p w14:paraId="28DDA31D" w14:textId="77777777" w:rsidR="005A1A60" w:rsidRPr="005479E2" w:rsidRDefault="005A1A60" w:rsidP="005A1A60">
            <w:pPr>
              <w:pStyle w:val="IBCRequirement"/>
              <w:keepNext w:val="0"/>
              <w:rPr>
                <w:i/>
                <w:iCs/>
                <w:sz w:val="22"/>
              </w:rPr>
            </w:pPr>
            <w:r w:rsidRPr="005479E2">
              <w:rPr>
                <w:b/>
                <w:bCs/>
                <w:i/>
                <w:iCs/>
                <w:sz w:val="22"/>
              </w:rPr>
              <w:t>Alternative</w:t>
            </w:r>
            <w:r w:rsidRPr="005479E2">
              <w:rPr>
                <w:i/>
                <w:iCs/>
                <w:sz w:val="22"/>
              </w:rPr>
              <w:t>: to allow areas enclosed with insect screening or lattice:</w:t>
            </w:r>
          </w:p>
          <w:p w14:paraId="18832D80" w14:textId="77777777" w:rsidR="005A1A60" w:rsidRDefault="005A1A60" w:rsidP="005A1A60">
            <w:pPr>
              <w:ind w:left="432"/>
              <w:rPr>
                <w:rFonts w:ascii="Arial" w:hAnsi="Arial" w:cs="Arial"/>
                <w:sz w:val="22"/>
                <w:szCs w:val="22"/>
              </w:rPr>
            </w:pPr>
            <w:r w:rsidRPr="005479E2">
              <w:rPr>
                <w:rFonts w:ascii="Arial" w:hAnsi="Arial" w:cs="Arial"/>
                <w:b/>
                <w:bCs/>
                <w:sz w:val="22"/>
                <w:szCs w:val="22"/>
              </w:rPr>
              <w:t>R322.3.5 Enclosed areas below design flood elevation.</w:t>
            </w:r>
            <w:r w:rsidRPr="005479E2">
              <w:rPr>
                <w:rFonts w:ascii="Arial" w:hAnsi="Arial" w:cs="Arial"/>
                <w:sz w:val="22"/>
                <w:szCs w:val="22"/>
              </w:rPr>
              <w:t xml:space="preserve"> Enclosed areas below the design flood elevation </w:t>
            </w:r>
            <w:r w:rsidRPr="005479E2">
              <w:rPr>
                <w:rFonts w:ascii="Arial" w:hAnsi="Arial" w:cs="Arial"/>
                <w:sz w:val="22"/>
                <w:szCs w:val="22"/>
                <w:u w:val="single"/>
              </w:rPr>
              <w:t>are permitted to be enclosed solely by insect screening or open wood lattice and</w:t>
            </w:r>
            <w:r w:rsidRPr="005479E2">
              <w:rPr>
                <w:rFonts w:ascii="Arial" w:hAnsi="Arial" w:cs="Arial"/>
                <w:sz w:val="22"/>
                <w:szCs w:val="22"/>
              </w:rPr>
              <w:t xml:space="preserve"> shall be used solely for parking of vehicles, building access or storage.</w:t>
            </w:r>
          </w:p>
          <w:p w14:paraId="1C8C45AA" w14:textId="59C74FDC" w:rsidR="005A1A60" w:rsidRDefault="005A1A60" w:rsidP="005A1A60">
            <w:pPr>
              <w:ind w:left="432"/>
              <w:rPr>
                <w:rFonts w:ascii="Arial" w:hAnsi="Arial" w:cs="Arial"/>
                <w:i/>
                <w:sz w:val="22"/>
                <w:szCs w:val="22"/>
              </w:rPr>
            </w:pPr>
          </w:p>
        </w:tc>
      </w:tr>
    </w:tbl>
    <w:p w14:paraId="21DA0286" w14:textId="22608868" w:rsidR="005C026D" w:rsidRPr="005D41A2" w:rsidRDefault="005C026D" w:rsidP="0093485F">
      <w:pPr>
        <w:widowControl/>
        <w:spacing w:before="120" w:after="120"/>
        <w:rPr>
          <w:rFonts w:asciiTheme="minorHAnsi" w:hAnsiTheme="minorHAnsi" w:cstheme="minorHAnsi"/>
          <w:sz w:val="28"/>
          <w:szCs w:val="28"/>
        </w:rPr>
      </w:pPr>
    </w:p>
    <w:sectPr w:rsidR="005C026D" w:rsidRPr="005D41A2" w:rsidSect="003A660F">
      <w:footerReference w:type="default" r:id="rId14"/>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C8E2C" w14:textId="77777777" w:rsidR="0092765B" w:rsidRDefault="0092765B" w:rsidP="00273EEE">
      <w:r>
        <w:separator/>
      </w:r>
    </w:p>
  </w:endnote>
  <w:endnote w:type="continuationSeparator" w:id="0">
    <w:p w14:paraId="382F1F89" w14:textId="77777777" w:rsidR="0092765B" w:rsidRDefault="0092765B" w:rsidP="0027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5A26F" w14:textId="10A75A63" w:rsidR="00273EEE" w:rsidRPr="00273EEE" w:rsidRDefault="00273EEE">
    <w:pPr>
      <w:pStyle w:val="Footer"/>
      <w:rPr>
        <w:rFonts w:ascii="Arial" w:hAnsi="Arial" w:cs="Arial"/>
      </w:rPr>
    </w:pPr>
    <w:r>
      <w:rPr>
        <w:rFonts w:ascii="Arial" w:hAnsi="Arial" w:cs="Arial"/>
      </w:rPr>
      <w:t xml:space="preserve">Higher Standard:  </w:t>
    </w:r>
    <w:r w:rsidR="00652373" w:rsidRPr="00083B4B">
      <w:rPr>
        <w:rFonts w:ascii="Arial" w:hAnsi="Arial" w:cs="Arial"/>
        <w:iCs/>
      </w:rPr>
      <w:t>Prohibit Enclosures</w:t>
    </w:r>
    <w:r w:rsidR="00652373">
      <w:rPr>
        <w:rFonts w:ascii="Arial" w:hAnsi="Arial" w:cs="Arial"/>
        <w:i/>
      </w:rPr>
      <w:t xml:space="preserve"> </w:t>
    </w:r>
    <w:r w:rsidR="0013591C" w:rsidRPr="005624E0">
      <w:rPr>
        <w:rFonts w:ascii="Arial" w:hAnsi="Arial" w:cs="Arial"/>
      </w:rPr>
      <w:t>(</w:t>
    </w:r>
    <w:r w:rsidR="00EA550D">
      <w:rPr>
        <w:rFonts w:ascii="Arial" w:hAnsi="Arial" w:cs="Arial"/>
      </w:rPr>
      <w:t>August</w:t>
    </w:r>
    <w:r w:rsidR="00FC483C">
      <w:rPr>
        <w:rFonts w:ascii="Arial" w:hAnsi="Arial" w:cs="Arial"/>
      </w:rPr>
      <w:t xml:space="preserve"> 2020</w:t>
    </w:r>
    <w:r w:rsidR="009F2B59">
      <w:rPr>
        <w:rFonts w:ascii="Arial" w:hAnsi="Arial" w:cs="Arial"/>
      </w:rPr>
      <w:t>)</w:t>
    </w:r>
    <w:r>
      <w:rPr>
        <w:rFonts w:ascii="Arial" w:hAnsi="Arial" w:cs="Arial"/>
      </w:rPr>
      <w:tab/>
    </w:r>
    <w:r w:rsidR="00083B4B">
      <w:rPr>
        <w:rFonts w:ascii="Arial" w:hAnsi="Arial" w:cs="Arial"/>
      </w:rPr>
      <w:tab/>
    </w:r>
    <w:r w:rsidR="00E821F7" w:rsidRPr="00273EEE">
      <w:rPr>
        <w:rFonts w:ascii="Arial" w:hAnsi="Arial" w:cs="Arial"/>
      </w:rPr>
      <w:fldChar w:fldCharType="begin"/>
    </w:r>
    <w:r w:rsidRPr="00273EEE">
      <w:rPr>
        <w:rFonts w:ascii="Arial" w:hAnsi="Arial" w:cs="Arial"/>
      </w:rPr>
      <w:instrText xml:space="preserve"> PAGE   \* MERGEFORMAT </w:instrText>
    </w:r>
    <w:r w:rsidR="00E821F7" w:rsidRPr="00273EEE">
      <w:rPr>
        <w:rFonts w:ascii="Arial" w:hAnsi="Arial" w:cs="Arial"/>
      </w:rPr>
      <w:fldChar w:fldCharType="separate"/>
    </w:r>
    <w:r w:rsidR="00546AB8">
      <w:rPr>
        <w:rFonts w:ascii="Arial" w:hAnsi="Arial" w:cs="Arial"/>
        <w:noProof/>
      </w:rPr>
      <w:t>3</w:t>
    </w:r>
    <w:r w:rsidR="00E821F7" w:rsidRPr="00273EE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45198" w14:textId="77777777" w:rsidR="0092765B" w:rsidRDefault="0092765B" w:rsidP="00273EEE">
      <w:r>
        <w:separator/>
      </w:r>
    </w:p>
  </w:footnote>
  <w:footnote w:type="continuationSeparator" w:id="0">
    <w:p w14:paraId="67669A30" w14:textId="77777777" w:rsidR="0092765B" w:rsidRDefault="0092765B" w:rsidP="00273EEE">
      <w:r>
        <w:continuationSeparator/>
      </w:r>
    </w:p>
  </w:footnote>
  <w:footnote w:id="1">
    <w:p w14:paraId="2724F719" w14:textId="77777777" w:rsidR="00083B4B" w:rsidRDefault="00083B4B" w:rsidP="00083B4B">
      <w:pPr>
        <w:pStyle w:val="FootnoteText"/>
      </w:pPr>
      <w:r>
        <w:rPr>
          <w:rStyle w:val="FootnoteReference"/>
        </w:rPr>
        <w:footnoteRef/>
      </w:r>
      <w:r w:rsidRPr="00EB6E63">
        <w:rPr>
          <w:rFonts w:asciiTheme="minorHAnsi" w:hAnsiTheme="minorHAnsi" w:cstheme="minorHAnsi"/>
        </w:rPr>
        <w:t xml:space="preserve">Reference:  </w:t>
      </w:r>
      <w:hyperlink r:id="rId1" w:history="1">
        <w:r w:rsidRPr="00EB6E63">
          <w:rPr>
            <w:rStyle w:val="Hyperlink"/>
            <w:rFonts w:asciiTheme="minorHAnsi" w:hAnsiTheme="minorHAnsi" w:cstheme="minorHAnsi"/>
            <w:i/>
          </w:rPr>
          <w:t>Reducing Flood Losses Through the International Codes: Coordinating Building Codes and Floodplain Management Regulations</w:t>
        </w:r>
      </w:hyperlink>
      <w:r w:rsidRPr="00EB6E63">
        <w:rPr>
          <w:rFonts w:asciiTheme="minorHAnsi" w:hAnsiTheme="minorHAnsi" w:cstheme="minorHAnsi"/>
          <w:i/>
        </w:rPr>
        <w:t xml:space="preserve"> </w:t>
      </w:r>
      <w:r w:rsidRPr="00EB6E63">
        <w:rPr>
          <w:rFonts w:asciiTheme="minorHAnsi" w:hAnsiTheme="minorHAnsi" w:cstheme="minorHAnsi"/>
        </w:rPr>
        <w:t>(5</w:t>
      </w:r>
      <w:r w:rsidRPr="00EB6E63">
        <w:rPr>
          <w:rFonts w:asciiTheme="minorHAnsi" w:hAnsiTheme="minorHAnsi" w:cstheme="minorHAnsi"/>
          <w:vertAlign w:val="superscript"/>
        </w:rPr>
        <w:t>th</w:t>
      </w:r>
      <w:r w:rsidRPr="00EB6E63">
        <w:rPr>
          <w:rFonts w:asciiTheme="minorHAnsi" w:hAnsiTheme="minorHAnsi" w:cstheme="minorHAnsi"/>
        </w:rPr>
        <w:t xml:space="preserve"> Edition, 2019), International Code Council and FEMA.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2099"/>
    <w:multiLevelType w:val="hybridMultilevel"/>
    <w:tmpl w:val="B59CC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42D57"/>
    <w:multiLevelType w:val="hybridMultilevel"/>
    <w:tmpl w:val="CA9C70E4"/>
    <w:lvl w:ilvl="0" w:tplc="FB9C1B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A830D3"/>
    <w:multiLevelType w:val="hybridMultilevel"/>
    <w:tmpl w:val="D7F67A38"/>
    <w:lvl w:ilvl="0" w:tplc="4606CA5E">
      <w:start w:val="1"/>
      <w:numFmt w:val="decimal"/>
      <w:lvlText w:val="(%1)"/>
      <w:lvlJc w:val="left"/>
      <w:pPr>
        <w:tabs>
          <w:tab w:val="num" w:pos="1200"/>
        </w:tabs>
        <w:ind w:left="1200" w:hanging="360"/>
      </w:pPr>
      <w:rPr>
        <w:rFonts w:hint="default"/>
      </w:rPr>
    </w:lvl>
    <w:lvl w:ilvl="1" w:tplc="C6C88A1E">
      <w:start w:val="1"/>
      <w:numFmt w:val="lowerLetter"/>
      <w:lvlText w:val="(%2)"/>
      <w:lvlJc w:val="left"/>
      <w:pPr>
        <w:tabs>
          <w:tab w:val="num" w:pos="2280"/>
        </w:tabs>
        <w:ind w:left="2280" w:hanging="360"/>
      </w:pPr>
      <w:rPr>
        <w:rFonts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15:restartNumberingAfterBreak="0">
    <w:nsid w:val="1D6304AE"/>
    <w:multiLevelType w:val="hybridMultilevel"/>
    <w:tmpl w:val="5BF42B8C"/>
    <w:lvl w:ilvl="0" w:tplc="88D4AD56">
      <w:start w:val="1"/>
      <w:numFmt w:val="decimal"/>
      <w:lvlText w:val="%1."/>
      <w:lvlJc w:val="left"/>
      <w:pPr>
        <w:tabs>
          <w:tab w:val="num" w:pos="792"/>
        </w:tabs>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275F4"/>
    <w:multiLevelType w:val="hybridMultilevel"/>
    <w:tmpl w:val="11A2EF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4F286C"/>
    <w:multiLevelType w:val="hybridMultilevel"/>
    <w:tmpl w:val="D8FCF0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3C123A"/>
    <w:multiLevelType w:val="hybridMultilevel"/>
    <w:tmpl w:val="F0488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4297B"/>
    <w:multiLevelType w:val="hybridMultilevel"/>
    <w:tmpl w:val="41A2494C"/>
    <w:lvl w:ilvl="0" w:tplc="5CD6F55C">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814AA"/>
    <w:multiLevelType w:val="hybridMultilevel"/>
    <w:tmpl w:val="CA9C70E4"/>
    <w:lvl w:ilvl="0" w:tplc="FB9C1B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662539"/>
    <w:multiLevelType w:val="multilevel"/>
    <w:tmpl w:val="84C615A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830"/>
        </w:tabs>
        <w:ind w:left="1830" w:hanging="3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3E7137FD"/>
    <w:multiLevelType w:val="hybridMultilevel"/>
    <w:tmpl w:val="23025B3A"/>
    <w:lvl w:ilvl="0" w:tplc="B1440F9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76F84"/>
    <w:multiLevelType w:val="hybridMultilevel"/>
    <w:tmpl w:val="F334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436EE"/>
    <w:multiLevelType w:val="hybridMultilevel"/>
    <w:tmpl w:val="F8E2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F6D71"/>
    <w:multiLevelType w:val="hybridMultilevel"/>
    <w:tmpl w:val="9E42E3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EB5539"/>
    <w:multiLevelType w:val="multilevel"/>
    <w:tmpl w:val="DFC29C7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830"/>
        </w:tabs>
        <w:ind w:left="1830" w:hanging="3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15:restartNumberingAfterBreak="0">
    <w:nsid w:val="666F7A90"/>
    <w:multiLevelType w:val="hybridMultilevel"/>
    <w:tmpl w:val="5B58C924"/>
    <w:lvl w:ilvl="0" w:tplc="2782EC5A">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94AAD"/>
    <w:multiLevelType w:val="hybridMultilevel"/>
    <w:tmpl w:val="7750CCF2"/>
    <w:lvl w:ilvl="0" w:tplc="FB9C1B5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7" w15:restartNumberingAfterBreak="0">
    <w:nsid w:val="698F54CF"/>
    <w:multiLevelType w:val="multilevel"/>
    <w:tmpl w:val="C6AC3CBC"/>
    <w:lvl w:ilvl="0">
      <w:start w:val="1"/>
      <w:numFmt w:val="decimal"/>
      <w:lvlText w:val="%1."/>
      <w:lvlJc w:val="left"/>
      <w:pPr>
        <w:ind w:left="720" w:hanging="360"/>
      </w:pPr>
      <w:rPr>
        <w:rFonts w:ascii="Times New Roman" w:eastAsia="PMingLiU" w:hAnsi="Times New Roman"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353850"/>
    <w:multiLevelType w:val="hybridMultilevel"/>
    <w:tmpl w:val="134ED5E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9" w15:restartNumberingAfterBreak="0">
    <w:nsid w:val="6E1A3A79"/>
    <w:multiLevelType w:val="hybridMultilevel"/>
    <w:tmpl w:val="D7F67A38"/>
    <w:lvl w:ilvl="0" w:tplc="4606CA5E">
      <w:start w:val="1"/>
      <w:numFmt w:val="decimal"/>
      <w:lvlText w:val="(%1)"/>
      <w:lvlJc w:val="left"/>
      <w:pPr>
        <w:tabs>
          <w:tab w:val="num" w:pos="780"/>
        </w:tabs>
        <w:ind w:left="780" w:hanging="360"/>
      </w:pPr>
      <w:rPr>
        <w:rFonts w:hint="default"/>
      </w:rPr>
    </w:lvl>
    <w:lvl w:ilvl="1" w:tplc="C6C88A1E">
      <w:start w:val="1"/>
      <w:numFmt w:val="lowerLetter"/>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0" w15:restartNumberingAfterBreak="0">
    <w:nsid w:val="6E42310F"/>
    <w:multiLevelType w:val="hybridMultilevel"/>
    <w:tmpl w:val="7750CCF2"/>
    <w:lvl w:ilvl="0" w:tplc="FB9C1B5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1" w15:restartNumberingAfterBreak="0">
    <w:nsid w:val="74BD574F"/>
    <w:multiLevelType w:val="hybridMultilevel"/>
    <w:tmpl w:val="0E1ED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46A9C"/>
    <w:multiLevelType w:val="hybridMultilevel"/>
    <w:tmpl w:val="3F82C674"/>
    <w:lvl w:ilvl="0" w:tplc="62D268A2">
      <w:start w:val="1"/>
      <w:numFmt w:val="decimal"/>
      <w:lvlText w:val="%1."/>
      <w:lvlJc w:val="left"/>
      <w:pPr>
        <w:tabs>
          <w:tab w:val="num" w:pos="792"/>
        </w:tabs>
        <w:ind w:left="792" w:hanging="360"/>
      </w:pPr>
      <w:rPr>
        <w:rFonts w:hint="default"/>
        <w:b w:val="0"/>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3" w15:restartNumberingAfterBreak="0">
    <w:nsid w:val="79CE28D4"/>
    <w:multiLevelType w:val="hybridMultilevel"/>
    <w:tmpl w:val="2B3019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22"/>
  </w:num>
  <w:num w:numId="4">
    <w:abstractNumId w:val="20"/>
  </w:num>
  <w:num w:numId="5">
    <w:abstractNumId w:val="8"/>
  </w:num>
  <w:num w:numId="6">
    <w:abstractNumId w:val="12"/>
  </w:num>
  <w:num w:numId="7">
    <w:abstractNumId w:val="23"/>
  </w:num>
  <w:num w:numId="8">
    <w:abstractNumId w:val="6"/>
  </w:num>
  <w:num w:numId="9">
    <w:abstractNumId w:val="10"/>
  </w:num>
  <w:num w:numId="10">
    <w:abstractNumId w:val="3"/>
  </w:num>
  <w:num w:numId="11">
    <w:abstractNumId w:val="7"/>
  </w:num>
  <w:num w:numId="12">
    <w:abstractNumId w:val="15"/>
  </w:num>
  <w:num w:numId="13">
    <w:abstractNumId w:val="14"/>
  </w:num>
  <w:num w:numId="14">
    <w:abstractNumId w:val="16"/>
  </w:num>
  <w:num w:numId="15">
    <w:abstractNumId w:val="19"/>
  </w:num>
  <w:num w:numId="16">
    <w:abstractNumId w:val="2"/>
  </w:num>
  <w:num w:numId="17">
    <w:abstractNumId w:val="1"/>
  </w:num>
  <w:num w:numId="18">
    <w:abstractNumId w:val="5"/>
  </w:num>
  <w:num w:numId="19">
    <w:abstractNumId w:val="13"/>
  </w:num>
  <w:num w:numId="20">
    <w:abstractNumId w:val="11"/>
  </w:num>
  <w:num w:numId="21">
    <w:abstractNumId w:val="0"/>
  </w:num>
  <w:num w:numId="22">
    <w:abstractNumId w:val="21"/>
  </w:num>
  <w:num w:numId="23">
    <w:abstractNumId w:val="17"/>
  </w:num>
  <w:num w:numId="24">
    <w:abstractNumId w:val="18"/>
  </w:num>
  <w:num w:numId="2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BB"/>
    <w:rsid w:val="000019DA"/>
    <w:rsid w:val="00002E37"/>
    <w:rsid w:val="00010C68"/>
    <w:rsid w:val="000225FA"/>
    <w:rsid w:val="00024FE2"/>
    <w:rsid w:val="0002562F"/>
    <w:rsid w:val="00025762"/>
    <w:rsid w:val="0002685B"/>
    <w:rsid w:val="000322E0"/>
    <w:rsid w:val="00032C2A"/>
    <w:rsid w:val="00034270"/>
    <w:rsid w:val="00034CAC"/>
    <w:rsid w:val="000508DA"/>
    <w:rsid w:val="000734FA"/>
    <w:rsid w:val="00073D73"/>
    <w:rsid w:val="00075DED"/>
    <w:rsid w:val="00076A36"/>
    <w:rsid w:val="00083B4B"/>
    <w:rsid w:val="000957F2"/>
    <w:rsid w:val="000A3BDC"/>
    <w:rsid w:val="000E170E"/>
    <w:rsid w:val="00111652"/>
    <w:rsid w:val="001213E9"/>
    <w:rsid w:val="0013591C"/>
    <w:rsid w:val="00136BD9"/>
    <w:rsid w:val="001443C4"/>
    <w:rsid w:val="00145EEB"/>
    <w:rsid w:val="00160F6B"/>
    <w:rsid w:val="001D289D"/>
    <w:rsid w:val="001E3F2C"/>
    <w:rsid w:val="001E49A9"/>
    <w:rsid w:val="001F16E0"/>
    <w:rsid w:val="001F2688"/>
    <w:rsid w:val="001F317D"/>
    <w:rsid w:val="00207439"/>
    <w:rsid w:val="00212BA0"/>
    <w:rsid w:val="00213C3C"/>
    <w:rsid w:val="00221D55"/>
    <w:rsid w:val="00227DE4"/>
    <w:rsid w:val="00241056"/>
    <w:rsid w:val="002414FB"/>
    <w:rsid w:val="00243696"/>
    <w:rsid w:val="002525B0"/>
    <w:rsid w:val="00255924"/>
    <w:rsid w:val="00256C74"/>
    <w:rsid w:val="002633E6"/>
    <w:rsid w:val="00265724"/>
    <w:rsid w:val="002675D7"/>
    <w:rsid w:val="00273EEE"/>
    <w:rsid w:val="00277B0C"/>
    <w:rsid w:val="0028385A"/>
    <w:rsid w:val="002872ED"/>
    <w:rsid w:val="002927D3"/>
    <w:rsid w:val="00294DF4"/>
    <w:rsid w:val="002C4F50"/>
    <w:rsid w:val="002C5760"/>
    <w:rsid w:val="002C6876"/>
    <w:rsid w:val="002C79CE"/>
    <w:rsid w:val="002C7B99"/>
    <w:rsid w:val="002D31EF"/>
    <w:rsid w:val="002D3791"/>
    <w:rsid w:val="002D57EA"/>
    <w:rsid w:val="002E0DB9"/>
    <w:rsid w:val="002F3278"/>
    <w:rsid w:val="002F54A3"/>
    <w:rsid w:val="00342B21"/>
    <w:rsid w:val="00343D8A"/>
    <w:rsid w:val="003505AC"/>
    <w:rsid w:val="003510BB"/>
    <w:rsid w:val="0036563E"/>
    <w:rsid w:val="00376E24"/>
    <w:rsid w:val="00383357"/>
    <w:rsid w:val="00394606"/>
    <w:rsid w:val="00397C44"/>
    <w:rsid w:val="003A660F"/>
    <w:rsid w:val="003C3801"/>
    <w:rsid w:val="003D3DB4"/>
    <w:rsid w:val="003D4EFB"/>
    <w:rsid w:val="003D67F5"/>
    <w:rsid w:val="003E244E"/>
    <w:rsid w:val="003F2DBD"/>
    <w:rsid w:val="003F3865"/>
    <w:rsid w:val="004112CA"/>
    <w:rsid w:val="004118EA"/>
    <w:rsid w:val="00411D73"/>
    <w:rsid w:val="00415A3C"/>
    <w:rsid w:val="0043177A"/>
    <w:rsid w:val="004451AC"/>
    <w:rsid w:val="00464FB6"/>
    <w:rsid w:val="00466CD4"/>
    <w:rsid w:val="00467D6B"/>
    <w:rsid w:val="004756F5"/>
    <w:rsid w:val="00490D85"/>
    <w:rsid w:val="004A215D"/>
    <w:rsid w:val="004B3031"/>
    <w:rsid w:val="004C44B8"/>
    <w:rsid w:val="004D0BF0"/>
    <w:rsid w:val="004D2D10"/>
    <w:rsid w:val="004E4F45"/>
    <w:rsid w:val="004F5009"/>
    <w:rsid w:val="004F6805"/>
    <w:rsid w:val="005237F4"/>
    <w:rsid w:val="00546AB8"/>
    <w:rsid w:val="005479E2"/>
    <w:rsid w:val="00547A32"/>
    <w:rsid w:val="00552A37"/>
    <w:rsid w:val="005624E0"/>
    <w:rsid w:val="00570DFC"/>
    <w:rsid w:val="00571CED"/>
    <w:rsid w:val="005850DE"/>
    <w:rsid w:val="00586399"/>
    <w:rsid w:val="00596079"/>
    <w:rsid w:val="005A1A60"/>
    <w:rsid w:val="005A1CA9"/>
    <w:rsid w:val="005B4A93"/>
    <w:rsid w:val="005C026D"/>
    <w:rsid w:val="005D41A2"/>
    <w:rsid w:val="005E49A6"/>
    <w:rsid w:val="005F6538"/>
    <w:rsid w:val="00602446"/>
    <w:rsid w:val="00604491"/>
    <w:rsid w:val="0061390D"/>
    <w:rsid w:val="0061695B"/>
    <w:rsid w:val="0064517F"/>
    <w:rsid w:val="00652373"/>
    <w:rsid w:val="00661CA7"/>
    <w:rsid w:val="006716BB"/>
    <w:rsid w:val="00680D7D"/>
    <w:rsid w:val="0068468F"/>
    <w:rsid w:val="00697451"/>
    <w:rsid w:val="006A6520"/>
    <w:rsid w:val="006B67DD"/>
    <w:rsid w:val="006B767D"/>
    <w:rsid w:val="006D7082"/>
    <w:rsid w:val="00706812"/>
    <w:rsid w:val="00706CD4"/>
    <w:rsid w:val="00707D74"/>
    <w:rsid w:val="00710D0D"/>
    <w:rsid w:val="00715954"/>
    <w:rsid w:val="00720D79"/>
    <w:rsid w:val="00725C52"/>
    <w:rsid w:val="0075066E"/>
    <w:rsid w:val="00751C7A"/>
    <w:rsid w:val="00756CC3"/>
    <w:rsid w:val="00784178"/>
    <w:rsid w:val="007A6764"/>
    <w:rsid w:val="007C0024"/>
    <w:rsid w:val="007C6727"/>
    <w:rsid w:val="007D39D5"/>
    <w:rsid w:val="007E5974"/>
    <w:rsid w:val="008040A2"/>
    <w:rsid w:val="008051C9"/>
    <w:rsid w:val="0080648C"/>
    <w:rsid w:val="008174C4"/>
    <w:rsid w:val="00822DA4"/>
    <w:rsid w:val="00831D95"/>
    <w:rsid w:val="00836A9A"/>
    <w:rsid w:val="0084585D"/>
    <w:rsid w:val="0085387F"/>
    <w:rsid w:val="00855D7B"/>
    <w:rsid w:val="00857BBD"/>
    <w:rsid w:val="008959D7"/>
    <w:rsid w:val="00897708"/>
    <w:rsid w:val="008F0BD5"/>
    <w:rsid w:val="0092765B"/>
    <w:rsid w:val="00927E2D"/>
    <w:rsid w:val="0093485F"/>
    <w:rsid w:val="00936481"/>
    <w:rsid w:val="0094244D"/>
    <w:rsid w:val="0095125C"/>
    <w:rsid w:val="00954EA8"/>
    <w:rsid w:val="00975AFF"/>
    <w:rsid w:val="009962C0"/>
    <w:rsid w:val="00997D92"/>
    <w:rsid w:val="009A0D68"/>
    <w:rsid w:val="009A4603"/>
    <w:rsid w:val="009A74DD"/>
    <w:rsid w:val="009B2E58"/>
    <w:rsid w:val="009C0043"/>
    <w:rsid w:val="009C3540"/>
    <w:rsid w:val="009C5AE3"/>
    <w:rsid w:val="009D5E5A"/>
    <w:rsid w:val="009F2B59"/>
    <w:rsid w:val="009F7C65"/>
    <w:rsid w:val="00A0620E"/>
    <w:rsid w:val="00A367C8"/>
    <w:rsid w:val="00A43454"/>
    <w:rsid w:val="00A56D74"/>
    <w:rsid w:val="00A572F1"/>
    <w:rsid w:val="00A65FCE"/>
    <w:rsid w:val="00AD0C4D"/>
    <w:rsid w:val="00AD5EBB"/>
    <w:rsid w:val="00AE4B2C"/>
    <w:rsid w:val="00AE6ED4"/>
    <w:rsid w:val="00B00932"/>
    <w:rsid w:val="00B13135"/>
    <w:rsid w:val="00B21F95"/>
    <w:rsid w:val="00B2565D"/>
    <w:rsid w:val="00B25AD4"/>
    <w:rsid w:val="00B2638B"/>
    <w:rsid w:val="00B4006E"/>
    <w:rsid w:val="00B52CF5"/>
    <w:rsid w:val="00B61CDC"/>
    <w:rsid w:val="00B75958"/>
    <w:rsid w:val="00B777E7"/>
    <w:rsid w:val="00B9420F"/>
    <w:rsid w:val="00BA1D14"/>
    <w:rsid w:val="00BB195B"/>
    <w:rsid w:val="00BB4AF1"/>
    <w:rsid w:val="00BB69F2"/>
    <w:rsid w:val="00C04D2B"/>
    <w:rsid w:val="00C054AE"/>
    <w:rsid w:val="00C058D8"/>
    <w:rsid w:val="00C22B44"/>
    <w:rsid w:val="00C25A09"/>
    <w:rsid w:val="00C2690C"/>
    <w:rsid w:val="00C3303D"/>
    <w:rsid w:val="00C33B8C"/>
    <w:rsid w:val="00C3424D"/>
    <w:rsid w:val="00C44018"/>
    <w:rsid w:val="00C66EFE"/>
    <w:rsid w:val="00C70A09"/>
    <w:rsid w:val="00C72E7B"/>
    <w:rsid w:val="00C922E3"/>
    <w:rsid w:val="00C96208"/>
    <w:rsid w:val="00CA2450"/>
    <w:rsid w:val="00CA6DF3"/>
    <w:rsid w:val="00CB1698"/>
    <w:rsid w:val="00CB2723"/>
    <w:rsid w:val="00CB7788"/>
    <w:rsid w:val="00CD2FB9"/>
    <w:rsid w:val="00CD7E49"/>
    <w:rsid w:val="00CE494B"/>
    <w:rsid w:val="00D043F9"/>
    <w:rsid w:val="00D4263B"/>
    <w:rsid w:val="00D51D60"/>
    <w:rsid w:val="00D8176D"/>
    <w:rsid w:val="00D8522F"/>
    <w:rsid w:val="00DB3393"/>
    <w:rsid w:val="00DB6C00"/>
    <w:rsid w:val="00DB77C9"/>
    <w:rsid w:val="00DC0C1A"/>
    <w:rsid w:val="00DF7693"/>
    <w:rsid w:val="00E02465"/>
    <w:rsid w:val="00E3643A"/>
    <w:rsid w:val="00E43DBD"/>
    <w:rsid w:val="00E50BB1"/>
    <w:rsid w:val="00E57BD6"/>
    <w:rsid w:val="00E7430C"/>
    <w:rsid w:val="00E821F7"/>
    <w:rsid w:val="00E832A3"/>
    <w:rsid w:val="00E90618"/>
    <w:rsid w:val="00EA550D"/>
    <w:rsid w:val="00EB2C45"/>
    <w:rsid w:val="00EB3DD0"/>
    <w:rsid w:val="00EC23D2"/>
    <w:rsid w:val="00EC3F08"/>
    <w:rsid w:val="00ED5B0E"/>
    <w:rsid w:val="00ED7F00"/>
    <w:rsid w:val="00EF55D3"/>
    <w:rsid w:val="00F00B45"/>
    <w:rsid w:val="00F049DD"/>
    <w:rsid w:val="00F1173D"/>
    <w:rsid w:val="00F132BC"/>
    <w:rsid w:val="00F13B0F"/>
    <w:rsid w:val="00F13F41"/>
    <w:rsid w:val="00F14205"/>
    <w:rsid w:val="00F14279"/>
    <w:rsid w:val="00F157CC"/>
    <w:rsid w:val="00F20500"/>
    <w:rsid w:val="00F32CA1"/>
    <w:rsid w:val="00F4079F"/>
    <w:rsid w:val="00F61785"/>
    <w:rsid w:val="00FB4F76"/>
    <w:rsid w:val="00FC283B"/>
    <w:rsid w:val="00FC3170"/>
    <w:rsid w:val="00FC483C"/>
    <w:rsid w:val="00FC6295"/>
    <w:rsid w:val="00FC7B4C"/>
    <w:rsid w:val="00FD1DE8"/>
    <w:rsid w:val="00FE1AC3"/>
    <w:rsid w:val="00FE5B78"/>
    <w:rsid w:val="00FF011B"/>
    <w:rsid w:val="00FF0493"/>
    <w:rsid w:val="00FF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57FED"/>
  <w15:docId w15:val="{FDBA7D6D-20D9-4BED-95BA-AE174FC0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0BB"/>
    <w:pPr>
      <w:widowControl w:val="0"/>
      <w:spacing w:before="0" w:after="0"/>
    </w:pPr>
    <w:rPr>
      <w:rFonts w:ascii="Courier New" w:eastAsia="Times New Roman" w:hAnsi="Courier New" w:cs="Times New Roman"/>
      <w:snapToGrid w:val="0"/>
      <w:sz w:val="20"/>
      <w:szCs w:val="20"/>
    </w:rPr>
  </w:style>
  <w:style w:type="paragraph" w:styleId="Heading2">
    <w:name w:val="heading 2"/>
    <w:basedOn w:val="Normal"/>
    <w:next w:val="Normal"/>
    <w:link w:val="Heading2Char"/>
    <w:uiPriority w:val="9"/>
    <w:unhideWhenUsed/>
    <w:qFormat/>
    <w:rsid w:val="003510BB"/>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DB4"/>
    <w:rPr>
      <w:color w:val="0000FF"/>
      <w:u w:val="single"/>
    </w:rPr>
  </w:style>
  <w:style w:type="paragraph" w:styleId="NormalWeb">
    <w:name w:val="Normal (Web)"/>
    <w:basedOn w:val="Normal"/>
    <w:uiPriority w:val="99"/>
    <w:semiHidden/>
    <w:unhideWhenUsed/>
    <w:rsid w:val="003D3DB4"/>
    <w:pPr>
      <w:spacing w:before="100" w:beforeAutospacing="1" w:after="100" w:afterAutospacing="1"/>
    </w:pPr>
  </w:style>
  <w:style w:type="paragraph" w:styleId="HTMLPreformatted">
    <w:name w:val="HTML Preformatted"/>
    <w:basedOn w:val="Normal"/>
    <w:link w:val="HTMLPreformattedChar"/>
    <w:uiPriority w:val="99"/>
    <w:semiHidden/>
    <w:unhideWhenUsed/>
    <w:rsid w:val="003D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HTMLPreformattedChar">
    <w:name w:val="HTML Preformatted Char"/>
    <w:basedOn w:val="DefaultParagraphFont"/>
    <w:link w:val="HTMLPreformatted"/>
    <w:uiPriority w:val="99"/>
    <w:semiHidden/>
    <w:rsid w:val="003D3DB4"/>
    <w:rPr>
      <w:rFonts w:ascii="Courier New" w:eastAsiaTheme="minorHAnsi" w:hAnsi="Courier New" w:cs="Courier New"/>
      <w:sz w:val="20"/>
      <w:szCs w:val="20"/>
    </w:rPr>
  </w:style>
  <w:style w:type="paragraph" w:styleId="BalloonText">
    <w:name w:val="Balloon Text"/>
    <w:basedOn w:val="Normal"/>
    <w:link w:val="BalloonTextChar"/>
    <w:uiPriority w:val="99"/>
    <w:semiHidden/>
    <w:unhideWhenUsed/>
    <w:rsid w:val="003D3DB4"/>
    <w:rPr>
      <w:rFonts w:ascii="Tahoma" w:hAnsi="Tahoma" w:cs="Tahoma"/>
      <w:sz w:val="16"/>
      <w:szCs w:val="16"/>
    </w:rPr>
  </w:style>
  <w:style w:type="character" w:customStyle="1" w:styleId="BalloonTextChar">
    <w:name w:val="Balloon Text Char"/>
    <w:basedOn w:val="DefaultParagraphFont"/>
    <w:link w:val="BalloonText"/>
    <w:uiPriority w:val="99"/>
    <w:semiHidden/>
    <w:rsid w:val="003D3DB4"/>
    <w:rPr>
      <w:rFonts w:ascii="Tahoma" w:eastAsiaTheme="minorHAnsi" w:hAnsi="Tahoma" w:cs="Tahoma"/>
      <w:sz w:val="16"/>
      <w:szCs w:val="16"/>
    </w:rPr>
  </w:style>
  <w:style w:type="table" w:styleId="TableGrid">
    <w:name w:val="Table Grid"/>
    <w:basedOn w:val="TableNormal"/>
    <w:uiPriority w:val="59"/>
    <w:rsid w:val="003D3DB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DB4"/>
    <w:pPr>
      <w:ind w:left="720"/>
    </w:pPr>
  </w:style>
  <w:style w:type="character" w:customStyle="1" w:styleId="Heading2Char">
    <w:name w:val="Heading 2 Char"/>
    <w:basedOn w:val="DefaultParagraphFont"/>
    <w:link w:val="Heading2"/>
    <w:uiPriority w:val="9"/>
    <w:rsid w:val="003510BB"/>
    <w:rPr>
      <w:rFonts w:asciiTheme="majorHAnsi" w:eastAsiaTheme="majorEastAsia" w:hAnsiTheme="majorHAnsi" w:cstheme="majorBidi"/>
      <w:b/>
      <w:bCs/>
      <w:snapToGrid w:val="0"/>
      <w:sz w:val="26"/>
      <w:szCs w:val="26"/>
    </w:rPr>
  </w:style>
  <w:style w:type="paragraph" w:customStyle="1" w:styleId="LetteredParaHeadings">
    <w:name w:val="Lettered Para Headings"/>
    <w:basedOn w:val="Normal"/>
    <w:rsid w:val="003510BB"/>
    <w:pPr>
      <w:widowControl/>
      <w:spacing w:before="120"/>
      <w:ind w:left="1170" w:hanging="450"/>
    </w:pPr>
    <w:rPr>
      <w:rFonts w:ascii="Times New Roman" w:hAnsi="Times New Roman"/>
      <w:snapToGrid/>
      <w:sz w:val="24"/>
      <w:szCs w:val="24"/>
    </w:rPr>
  </w:style>
  <w:style w:type="paragraph" w:styleId="Header">
    <w:name w:val="header"/>
    <w:basedOn w:val="Normal"/>
    <w:link w:val="HeaderChar"/>
    <w:uiPriority w:val="99"/>
    <w:unhideWhenUsed/>
    <w:rsid w:val="00273EEE"/>
    <w:pPr>
      <w:tabs>
        <w:tab w:val="center" w:pos="4680"/>
        <w:tab w:val="right" w:pos="9360"/>
      </w:tabs>
    </w:pPr>
  </w:style>
  <w:style w:type="character" w:customStyle="1" w:styleId="HeaderChar">
    <w:name w:val="Header Char"/>
    <w:basedOn w:val="DefaultParagraphFont"/>
    <w:link w:val="Header"/>
    <w:uiPriority w:val="99"/>
    <w:rsid w:val="00273EEE"/>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273EEE"/>
    <w:pPr>
      <w:tabs>
        <w:tab w:val="center" w:pos="4680"/>
        <w:tab w:val="right" w:pos="9360"/>
      </w:tabs>
    </w:pPr>
  </w:style>
  <w:style w:type="character" w:customStyle="1" w:styleId="FooterChar">
    <w:name w:val="Footer Char"/>
    <w:basedOn w:val="DefaultParagraphFont"/>
    <w:link w:val="Footer"/>
    <w:uiPriority w:val="99"/>
    <w:rsid w:val="00273EEE"/>
    <w:rPr>
      <w:rFonts w:ascii="Courier New" w:eastAsia="Times New Roman" w:hAnsi="Courier New" w:cs="Times New Roman"/>
      <w:snapToGrid w:val="0"/>
      <w:sz w:val="20"/>
      <w:szCs w:val="20"/>
    </w:rPr>
  </w:style>
  <w:style w:type="character" w:styleId="CommentReference">
    <w:name w:val="annotation reference"/>
    <w:basedOn w:val="DefaultParagraphFont"/>
    <w:rsid w:val="00034CAC"/>
    <w:rPr>
      <w:sz w:val="16"/>
      <w:szCs w:val="16"/>
    </w:rPr>
  </w:style>
  <w:style w:type="paragraph" w:styleId="CommentText">
    <w:name w:val="annotation text"/>
    <w:basedOn w:val="Normal"/>
    <w:link w:val="CommentTextChar"/>
    <w:uiPriority w:val="99"/>
    <w:qFormat/>
    <w:rsid w:val="00034CAC"/>
    <w:pPr>
      <w:widowControl/>
    </w:pPr>
    <w:rPr>
      <w:rFonts w:ascii="Bookman Old Style" w:hAnsi="Bookman Old Style"/>
      <w:snapToGrid/>
    </w:rPr>
  </w:style>
  <w:style w:type="character" w:customStyle="1" w:styleId="CommentTextChar">
    <w:name w:val="Comment Text Char"/>
    <w:basedOn w:val="DefaultParagraphFont"/>
    <w:link w:val="CommentText"/>
    <w:uiPriority w:val="99"/>
    <w:rsid w:val="00034CAC"/>
    <w:rPr>
      <w:rFonts w:ascii="Bookman Old Style" w:eastAsia="Times New Roman"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F00B45"/>
    <w:pPr>
      <w:widowControl w:val="0"/>
    </w:pPr>
    <w:rPr>
      <w:rFonts w:ascii="Courier New" w:hAnsi="Courier New"/>
      <w:b/>
      <w:bCs/>
      <w:snapToGrid w:val="0"/>
    </w:rPr>
  </w:style>
  <w:style w:type="character" w:customStyle="1" w:styleId="CommentSubjectChar">
    <w:name w:val="Comment Subject Char"/>
    <w:basedOn w:val="CommentTextChar"/>
    <w:link w:val="CommentSubject"/>
    <w:uiPriority w:val="99"/>
    <w:semiHidden/>
    <w:rsid w:val="00F00B45"/>
    <w:rPr>
      <w:rFonts w:ascii="Courier New" w:eastAsia="Times New Roman" w:hAnsi="Courier New" w:cs="Times New Roman"/>
      <w:b/>
      <w:bCs/>
      <w:snapToGrid w:val="0"/>
      <w:sz w:val="20"/>
      <w:szCs w:val="20"/>
    </w:rPr>
  </w:style>
  <w:style w:type="paragraph" w:styleId="FootnoteText">
    <w:name w:val="footnote text"/>
    <w:basedOn w:val="Normal"/>
    <w:link w:val="FootnoteTextChar"/>
    <w:uiPriority w:val="99"/>
    <w:semiHidden/>
    <w:unhideWhenUsed/>
    <w:rsid w:val="00DB77C9"/>
  </w:style>
  <w:style w:type="character" w:customStyle="1" w:styleId="FootnoteTextChar">
    <w:name w:val="Footnote Text Char"/>
    <w:basedOn w:val="DefaultParagraphFont"/>
    <w:link w:val="FootnoteText"/>
    <w:uiPriority w:val="99"/>
    <w:semiHidden/>
    <w:rsid w:val="00DB77C9"/>
    <w:rPr>
      <w:rFonts w:ascii="Courier New" w:eastAsia="Times New Roman" w:hAnsi="Courier New" w:cs="Times New Roman"/>
      <w:snapToGrid w:val="0"/>
      <w:sz w:val="20"/>
      <w:szCs w:val="20"/>
    </w:rPr>
  </w:style>
  <w:style w:type="character" w:styleId="FootnoteReference">
    <w:name w:val="footnote reference"/>
    <w:basedOn w:val="DefaultParagraphFont"/>
    <w:uiPriority w:val="99"/>
    <w:semiHidden/>
    <w:unhideWhenUsed/>
    <w:rsid w:val="00DB77C9"/>
    <w:rPr>
      <w:vertAlign w:val="superscript"/>
    </w:rPr>
  </w:style>
  <w:style w:type="character" w:styleId="FollowedHyperlink">
    <w:name w:val="FollowedHyperlink"/>
    <w:basedOn w:val="DefaultParagraphFont"/>
    <w:uiPriority w:val="99"/>
    <w:semiHidden/>
    <w:unhideWhenUsed/>
    <w:rsid w:val="005D41A2"/>
    <w:rPr>
      <w:color w:val="800080" w:themeColor="followedHyperlink"/>
      <w:u w:val="single"/>
    </w:rPr>
  </w:style>
  <w:style w:type="paragraph" w:customStyle="1" w:styleId="IBCRequirement">
    <w:name w:val="IBC Requirement"/>
    <w:qFormat/>
    <w:rsid w:val="00DF7693"/>
    <w:pPr>
      <w:keepNext/>
      <w:tabs>
        <w:tab w:val="left" w:pos="432"/>
      </w:tabs>
      <w:ind w:left="432"/>
    </w:pPr>
    <w:rPr>
      <w:rFonts w:ascii="Arial" w:eastAsia="Times New Roman" w:hAnsi="Arial" w:cs="Arial"/>
      <w:sz w:val="20"/>
    </w:rPr>
  </w:style>
  <w:style w:type="paragraph" w:customStyle="1" w:styleId="IBClistnumber">
    <w:name w:val="IBC list number"/>
    <w:qFormat/>
    <w:rsid w:val="005479E2"/>
    <w:pPr>
      <w:widowControl w:val="0"/>
      <w:tabs>
        <w:tab w:val="left" w:pos="432"/>
      </w:tabs>
      <w:autoSpaceDE w:val="0"/>
      <w:autoSpaceDN w:val="0"/>
      <w:adjustRightInd w:val="0"/>
      <w:spacing w:before="0"/>
      <w:ind w:left="1152" w:hanging="360"/>
    </w:pPr>
    <w:rPr>
      <w:rFonts w:ascii="Times New Roman" w:eastAsia="Times New Roman" w:hAnsi="Times New Roman" w:cs="Times New Roman"/>
      <w:sz w:val="20"/>
    </w:rPr>
  </w:style>
  <w:style w:type="paragraph" w:customStyle="1" w:styleId="StyleIBC1">
    <w:name w:val="Style IBC +1"/>
    <w:basedOn w:val="Normal"/>
    <w:rsid w:val="00B52CF5"/>
    <w:pPr>
      <w:widowControl/>
      <w:spacing w:before="120" w:after="120"/>
    </w:pPr>
    <w:rPr>
      <w:rFonts w:ascii="Times New Roman" w:hAnsi="Times New Roman"/>
      <w:snapToGrid/>
      <w:sz w:val="22"/>
      <w:szCs w:val="22"/>
    </w:rPr>
  </w:style>
  <w:style w:type="character" w:styleId="UnresolvedMention">
    <w:name w:val="Unresolved Mention"/>
    <w:basedOn w:val="DefaultParagraphFont"/>
    <w:uiPriority w:val="99"/>
    <w:semiHidden/>
    <w:unhideWhenUsed/>
    <w:rsid w:val="00EA5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3743">
      <w:bodyDiv w:val="1"/>
      <w:marLeft w:val="0"/>
      <w:marRight w:val="0"/>
      <w:marTop w:val="0"/>
      <w:marBottom w:val="0"/>
      <w:divBdr>
        <w:top w:val="none" w:sz="0" w:space="0" w:color="auto"/>
        <w:left w:val="none" w:sz="0" w:space="0" w:color="auto"/>
        <w:bottom w:val="none" w:sz="0" w:space="0" w:color="auto"/>
        <w:right w:val="none" w:sz="0" w:space="0" w:color="auto"/>
      </w:divBdr>
    </w:div>
    <w:div w:id="877007234">
      <w:bodyDiv w:val="1"/>
      <w:marLeft w:val="0"/>
      <w:marRight w:val="0"/>
      <w:marTop w:val="0"/>
      <w:marBottom w:val="0"/>
      <w:divBdr>
        <w:top w:val="none" w:sz="0" w:space="0" w:color="auto"/>
        <w:left w:val="none" w:sz="0" w:space="0" w:color="auto"/>
        <w:bottom w:val="none" w:sz="0" w:space="0" w:color="auto"/>
        <w:right w:val="none" w:sz="0" w:space="0" w:color="auto"/>
      </w:divBdr>
    </w:div>
    <w:div w:id="21049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R_NFIP@water.ca.gov" TargetMode="External"/><Relationship Id="rId13" Type="http://schemas.openxmlformats.org/officeDocument/2006/relationships/hyperlink" Target="https://www.fema.gov/media-library/assets/documents/87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ma.gov/media-library/assets/documents/87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MA-NFIP-R9@fema.dh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WR_NFIP@water.ca.gov" TargetMode="External"/><Relationship Id="rId4" Type="http://schemas.openxmlformats.org/officeDocument/2006/relationships/settings" Target="settings.xml"/><Relationship Id="rId9" Type="http://schemas.openxmlformats.org/officeDocument/2006/relationships/hyperlink" Target="mailto:FEMA-NFIP-R9@fema.dhs.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ema.gov/media-library/assets/documents/96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D819-E075-4503-B252-AB487D0A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RCQuinn</dc:creator>
  <cp:lastModifiedBy>Nikki</cp:lastModifiedBy>
  <cp:revision>5</cp:revision>
  <dcterms:created xsi:type="dcterms:W3CDTF">2021-05-06T07:01:00Z</dcterms:created>
  <dcterms:modified xsi:type="dcterms:W3CDTF">2021-05-06T15:00:00Z</dcterms:modified>
</cp:coreProperties>
</file>