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3CB97" w14:textId="7BC41245" w:rsidR="00AD5EBB" w:rsidRPr="002927D3" w:rsidRDefault="00AD2806" w:rsidP="7B9638A5">
      <w:pPr>
        <w:pStyle w:val="Heading2"/>
      </w:pPr>
      <w:r w:rsidRPr="7B9638A5">
        <w:rPr>
          <w:rFonts w:ascii="Arial" w:hAnsi="Arial" w:cs="Arial"/>
          <w:sz w:val="28"/>
          <w:szCs w:val="28"/>
        </w:rPr>
        <w:t>Require Dwellings to be Designed in Accordance with ASCE 24</w:t>
      </w:r>
      <w:r w:rsidR="007C6727" w:rsidRPr="7B9638A5">
        <w:rPr>
          <w:rFonts w:ascii="Arial" w:hAnsi="Arial" w:cs="Arial"/>
          <w:sz w:val="28"/>
          <w:szCs w:val="28"/>
        </w:rPr>
        <w:t xml:space="preserve"> </w:t>
      </w:r>
      <w:r w:rsidR="003510BB" w:rsidRPr="7B9638A5">
        <w:rPr>
          <w:rFonts w:ascii="Arial" w:hAnsi="Arial" w:cs="Arial"/>
          <w:b w:val="0"/>
          <w:bCs w:val="0"/>
          <w:sz w:val="28"/>
          <w:szCs w:val="28"/>
        </w:rPr>
        <w:t>–</w:t>
      </w:r>
      <w:r w:rsidR="003D20DE" w:rsidRPr="7B9638A5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3510BB" w:rsidRPr="7B9638A5">
        <w:rPr>
          <w:rFonts w:ascii="Arial" w:hAnsi="Arial" w:cs="Arial"/>
          <w:b w:val="0"/>
          <w:bCs w:val="0"/>
          <w:sz w:val="28"/>
          <w:szCs w:val="28"/>
        </w:rPr>
        <w:t>local technical code amendment</w:t>
      </w:r>
      <w:r w:rsidR="00273EEE" w:rsidRPr="7B9638A5">
        <w:rPr>
          <w:rFonts w:ascii="Arial" w:hAnsi="Arial" w:cs="Arial"/>
          <w:b w:val="0"/>
          <w:bCs w:val="0"/>
          <w:sz w:val="28"/>
          <w:szCs w:val="28"/>
        </w:rPr>
        <w:t>s</w:t>
      </w:r>
      <w:r w:rsidR="009C5AE3" w:rsidRPr="7B9638A5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E02465" w:rsidRPr="7B9638A5">
        <w:rPr>
          <w:rFonts w:ascii="Arial" w:hAnsi="Arial" w:cs="Arial"/>
          <w:b w:val="0"/>
          <w:bCs w:val="0"/>
          <w:sz w:val="28"/>
          <w:szCs w:val="28"/>
        </w:rPr>
        <w:t>(</w:t>
      </w:r>
      <w:r w:rsidR="00727BF5" w:rsidRPr="7B9638A5">
        <w:rPr>
          <w:rFonts w:ascii="Arial" w:hAnsi="Arial" w:cs="Arial"/>
          <w:b w:val="0"/>
          <w:bCs w:val="0"/>
          <w:sz w:val="28"/>
          <w:szCs w:val="28"/>
        </w:rPr>
        <w:t>Part 2.5 residential</w:t>
      </w:r>
      <w:r w:rsidR="00E02465" w:rsidRPr="7B9638A5">
        <w:rPr>
          <w:rFonts w:ascii="Arial" w:hAnsi="Arial" w:cs="Arial"/>
          <w:b w:val="0"/>
          <w:bCs w:val="0"/>
          <w:sz w:val="28"/>
          <w:szCs w:val="28"/>
        </w:rPr>
        <w:t>)</w:t>
      </w:r>
      <w:r w:rsidR="009C5AE3" w:rsidRPr="7B9638A5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7B13C0AD" w14:textId="77777777" w:rsidR="008310F0" w:rsidRDefault="008310F0" w:rsidP="004F782B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6FBF5C68" w14:textId="0FC7B267" w:rsidR="004F782B" w:rsidRDefault="004F782B" w:rsidP="004F782B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  <w:u w:val="single"/>
        </w:rPr>
        <w:t>Before you start</w:t>
      </w:r>
      <w:r>
        <w:rPr>
          <w:rFonts w:asciiTheme="minorHAnsi" w:hAnsiTheme="minorHAnsi" w:cstheme="minorHAnsi"/>
          <w:b/>
          <w:sz w:val="26"/>
          <w:szCs w:val="26"/>
        </w:rPr>
        <w:t xml:space="preserve">:  </w:t>
      </w:r>
      <w:r>
        <w:rPr>
          <w:rFonts w:asciiTheme="minorHAnsi" w:hAnsiTheme="minorHAnsi" w:cstheme="minorHAnsi"/>
          <w:sz w:val="26"/>
          <w:szCs w:val="26"/>
        </w:rPr>
        <w:t>Review the General Instructions for Amending the California Building Standards Code (</w:t>
      </w:r>
      <w:r w:rsidR="00727BF5">
        <w:rPr>
          <w:rFonts w:asciiTheme="minorHAnsi" w:hAnsiTheme="minorHAnsi" w:cstheme="minorHAnsi"/>
          <w:sz w:val="26"/>
          <w:szCs w:val="26"/>
        </w:rPr>
        <w:t xml:space="preserve">CCR </w:t>
      </w:r>
      <w:r>
        <w:rPr>
          <w:rFonts w:asciiTheme="minorHAnsi" w:hAnsiTheme="minorHAnsi" w:cstheme="minorHAnsi"/>
          <w:sz w:val="26"/>
          <w:szCs w:val="26"/>
        </w:rPr>
        <w:t>Title 24) to Adopt Higher Standards for Buildings and Development Located in Flood Hazard Areas.</w:t>
      </w:r>
    </w:p>
    <w:p w14:paraId="7480A5BF" w14:textId="77777777" w:rsidR="00097462" w:rsidRDefault="00097462" w:rsidP="004F782B">
      <w:pPr>
        <w:rPr>
          <w:rFonts w:asciiTheme="minorHAnsi" w:hAnsiTheme="minorHAnsi" w:cstheme="minorHAnsi"/>
          <w:snapToGrid/>
          <w:sz w:val="26"/>
          <w:szCs w:val="26"/>
        </w:rPr>
      </w:pPr>
    </w:p>
    <w:p w14:paraId="679ECA3B" w14:textId="2E3507B5" w:rsidR="004F782B" w:rsidRDefault="00385BEB" w:rsidP="00D16002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43757C5A" wp14:editId="32CE0EB9">
                <wp:extent cx="5943600" cy="786765"/>
                <wp:effectExtent l="19050" t="19050" r="38100" b="2984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4876" w14:textId="1733F7A0" w:rsidR="00385BEB" w:rsidRDefault="00385BEB" w:rsidP="00385BEB">
                            <w:pPr>
                              <w:spacing w:before="80" w:after="8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9177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Submit draft ordinances amending the flood provisions of the building code (in &lt;</w:t>
                            </w:r>
                            <w:r w:rsidRPr="00097462">
                              <w:rPr>
                                <w:rFonts w:asciiTheme="minorHAnsi" w:hAnsiTheme="minorHAnsi" w:cstheme="minorHAnsi"/>
                                <w:color w:val="C00000"/>
                                <w:sz w:val="24"/>
                                <w:szCs w:val="24"/>
                              </w:rPr>
                              <w:t>track changes</w:t>
                            </w:r>
                            <w:r w:rsidRPr="0029177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&gt;)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for review </w:t>
                            </w:r>
                            <w:r w:rsidRPr="0029177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well in advance of first reading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Pr="0029177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Pr="0029177C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DWR_NFIP@water.ca.gov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sz w:val="24"/>
                                <w:szCs w:val="24"/>
                                <w:u w:val="none"/>
                              </w:rPr>
                              <w:t xml:space="preserve"> or </w:t>
                            </w:r>
                            <w:hyperlink r:id="rId9" w:history="1">
                              <w:r w:rsidRPr="00E86F0E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FEMA-NFIP-R9@fema.dhs.gov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 P</w:t>
                            </w:r>
                            <w:r w:rsidRPr="0029177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lease put community name in subject line. </w:t>
                            </w:r>
                            <w:r w:rsidR="001735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757C5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68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" strokeweight="4.5pt">
                <v:stroke linestyle="thinThick"/>
                <v:textbox style="mso-fit-shape-to-text:t">
                  <w:txbxContent>
                    <w:p w14:paraId="0CF84876" w14:textId="1733F7A0" w:rsidR="00385BEB" w:rsidRDefault="00385BEB" w:rsidP="00385BEB">
                      <w:pPr>
                        <w:spacing w:before="80" w:after="8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29177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Submit draft ordinances amending the flood provisions of the building code (in &lt;</w:t>
                      </w:r>
                      <w:r w:rsidRPr="00097462">
                        <w:rPr>
                          <w:rFonts w:asciiTheme="minorHAnsi" w:hAnsiTheme="minorHAnsi" w:cstheme="minorHAnsi"/>
                          <w:color w:val="C00000"/>
                          <w:sz w:val="24"/>
                          <w:szCs w:val="24"/>
                        </w:rPr>
                        <w:t>track changes</w:t>
                      </w:r>
                      <w:r w:rsidRPr="0029177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&gt;)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for review </w:t>
                      </w:r>
                      <w:r w:rsidRPr="0029177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well in advance of first reading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to</w:t>
                      </w:r>
                      <w:r w:rsidRPr="0029177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Pr="0029177C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DWR_NFIP@water.ca.gov</w:t>
                        </w:r>
                      </w:hyperlink>
                      <w:r>
                        <w:rPr>
                          <w:rStyle w:val="Hyperlink"/>
                          <w:rFonts w:asciiTheme="minorHAnsi" w:hAnsiTheme="minorHAnsi" w:cstheme="minorHAnsi"/>
                          <w:sz w:val="24"/>
                          <w:szCs w:val="24"/>
                          <w:u w:val="none"/>
                        </w:rPr>
                        <w:t xml:space="preserve"> or </w:t>
                      </w:r>
                      <w:hyperlink r:id="rId11" w:history="1">
                        <w:r w:rsidRPr="00E86F0E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FEMA-NFIP-R9@fema.dhs.gov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 P</w:t>
                      </w:r>
                      <w:r w:rsidRPr="0029177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lease put community name in subject line. </w:t>
                      </w:r>
                      <w:r w:rsidR="0017357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18C9F8" w14:textId="77777777" w:rsidR="00385BEB" w:rsidRDefault="00385BEB" w:rsidP="00D16002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2230A1E8" w14:textId="11609634" w:rsidR="00D16002" w:rsidRDefault="003510BB" w:rsidP="00D16002">
      <w:pPr>
        <w:rPr>
          <w:rFonts w:asciiTheme="minorHAnsi" w:hAnsiTheme="minorHAnsi" w:cstheme="minorHAnsi"/>
          <w:sz w:val="26"/>
          <w:szCs w:val="26"/>
        </w:rPr>
      </w:pPr>
      <w:r w:rsidRPr="009F2B59">
        <w:rPr>
          <w:rFonts w:asciiTheme="minorHAnsi" w:hAnsiTheme="minorHAnsi" w:cstheme="minorHAnsi"/>
          <w:b/>
          <w:sz w:val="26"/>
          <w:szCs w:val="26"/>
          <w:u w:val="single"/>
        </w:rPr>
        <w:t>Description</w:t>
      </w:r>
      <w:r w:rsidR="00EE66CA">
        <w:rPr>
          <w:rStyle w:val="FootnoteReference"/>
          <w:rFonts w:asciiTheme="minorHAnsi" w:hAnsiTheme="minorHAnsi" w:cstheme="minorHAnsi"/>
          <w:b/>
          <w:sz w:val="26"/>
          <w:szCs w:val="26"/>
          <w:u w:val="single"/>
        </w:rPr>
        <w:footnoteReference w:id="1"/>
      </w:r>
      <w:r w:rsidRPr="009F2B59">
        <w:rPr>
          <w:rFonts w:asciiTheme="minorHAnsi" w:hAnsiTheme="minorHAnsi" w:cstheme="minorHAnsi"/>
          <w:b/>
          <w:sz w:val="26"/>
          <w:szCs w:val="26"/>
        </w:rPr>
        <w:t>:</w:t>
      </w:r>
      <w:r w:rsidRPr="009F2B59">
        <w:rPr>
          <w:rFonts w:asciiTheme="minorHAnsi" w:hAnsiTheme="minorHAnsi" w:cstheme="minorHAnsi"/>
          <w:sz w:val="26"/>
          <w:szCs w:val="26"/>
        </w:rPr>
        <w:t xml:space="preserve">  </w:t>
      </w:r>
      <w:r w:rsidR="00D16002" w:rsidRPr="00D16002">
        <w:rPr>
          <w:rFonts w:asciiTheme="minorHAnsi" w:hAnsiTheme="minorHAnsi" w:cstheme="minorHAnsi"/>
          <w:sz w:val="26"/>
          <w:szCs w:val="26"/>
        </w:rPr>
        <w:t xml:space="preserve">The NFIP and </w:t>
      </w:r>
      <w:r w:rsidR="00727BF5">
        <w:rPr>
          <w:rFonts w:asciiTheme="minorHAnsi" w:hAnsiTheme="minorHAnsi" w:cstheme="minorHAnsi"/>
          <w:sz w:val="26"/>
          <w:szCs w:val="26"/>
        </w:rPr>
        <w:t>Part 2.5 (residential)</w:t>
      </w:r>
      <w:r w:rsidR="00D16002" w:rsidRPr="00D16002">
        <w:rPr>
          <w:rFonts w:asciiTheme="minorHAnsi" w:hAnsiTheme="minorHAnsi" w:cstheme="minorHAnsi"/>
          <w:sz w:val="26"/>
          <w:szCs w:val="26"/>
        </w:rPr>
        <w:t xml:space="preserve"> do not require one- and two-family dwellings and townhomes in flood hazard areas identified on FIRMs as Zone A</w:t>
      </w:r>
      <w:r w:rsidR="004F782B">
        <w:rPr>
          <w:rFonts w:asciiTheme="minorHAnsi" w:hAnsiTheme="minorHAnsi" w:cstheme="minorHAnsi"/>
          <w:sz w:val="26"/>
          <w:szCs w:val="26"/>
        </w:rPr>
        <w:t>/AE</w:t>
      </w:r>
      <w:r w:rsidR="00D16002" w:rsidRPr="00D16002">
        <w:rPr>
          <w:rFonts w:asciiTheme="minorHAnsi" w:hAnsiTheme="minorHAnsi" w:cstheme="minorHAnsi"/>
          <w:sz w:val="26"/>
          <w:szCs w:val="26"/>
        </w:rPr>
        <w:t xml:space="preserve"> to be designed by registered design professionals. Conditions in many Zone A</w:t>
      </w:r>
      <w:r w:rsidR="004F782B">
        <w:rPr>
          <w:rFonts w:asciiTheme="minorHAnsi" w:hAnsiTheme="minorHAnsi" w:cstheme="minorHAnsi"/>
          <w:sz w:val="26"/>
          <w:szCs w:val="26"/>
        </w:rPr>
        <w:t>/AE</w:t>
      </w:r>
      <w:r w:rsidR="00D16002" w:rsidRPr="00D16002">
        <w:rPr>
          <w:rFonts w:asciiTheme="minorHAnsi" w:hAnsiTheme="minorHAnsi" w:cstheme="minorHAnsi"/>
          <w:sz w:val="26"/>
          <w:szCs w:val="26"/>
        </w:rPr>
        <w:t xml:space="preserve"> areas, whether riverine or coastal, may warrant </w:t>
      </w:r>
      <w:r w:rsidR="00D16002">
        <w:rPr>
          <w:rFonts w:asciiTheme="minorHAnsi" w:hAnsiTheme="minorHAnsi" w:cstheme="minorHAnsi"/>
          <w:sz w:val="26"/>
          <w:szCs w:val="26"/>
        </w:rPr>
        <w:t xml:space="preserve">the more detailed </w:t>
      </w:r>
      <w:r w:rsidR="00D16002" w:rsidRPr="00D16002">
        <w:rPr>
          <w:rFonts w:asciiTheme="minorHAnsi" w:hAnsiTheme="minorHAnsi" w:cstheme="minorHAnsi"/>
          <w:sz w:val="26"/>
          <w:szCs w:val="26"/>
        </w:rPr>
        <w:t>determination of flood loads and conditions</w:t>
      </w:r>
      <w:r w:rsidR="00D16002">
        <w:rPr>
          <w:rFonts w:asciiTheme="minorHAnsi" w:hAnsiTheme="minorHAnsi" w:cstheme="minorHAnsi"/>
          <w:sz w:val="26"/>
          <w:szCs w:val="26"/>
        </w:rPr>
        <w:t xml:space="preserve"> that accompanies professional design.  Such conditions may </w:t>
      </w:r>
      <w:r w:rsidR="00D16002" w:rsidRPr="00D16002">
        <w:rPr>
          <w:rFonts w:asciiTheme="minorHAnsi" w:hAnsiTheme="minorHAnsi" w:cstheme="minorHAnsi"/>
          <w:sz w:val="26"/>
          <w:szCs w:val="26"/>
        </w:rPr>
        <w:t>includ</w:t>
      </w:r>
      <w:r w:rsidR="00D16002">
        <w:rPr>
          <w:rFonts w:asciiTheme="minorHAnsi" w:hAnsiTheme="minorHAnsi" w:cstheme="minorHAnsi"/>
          <w:sz w:val="26"/>
          <w:szCs w:val="26"/>
        </w:rPr>
        <w:t>e</w:t>
      </w:r>
      <w:r w:rsidR="00D16002" w:rsidRPr="00D16002">
        <w:rPr>
          <w:rFonts w:asciiTheme="minorHAnsi" w:hAnsiTheme="minorHAnsi" w:cstheme="minorHAnsi"/>
          <w:sz w:val="26"/>
          <w:szCs w:val="26"/>
        </w:rPr>
        <w:t xml:space="preserve"> fast moving floodwater, flood depths greater than a few feet, wave action, and potential scour and erosion. </w:t>
      </w:r>
    </w:p>
    <w:p w14:paraId="416EF446" w14:textId="77777777" w:rsidR="00097462" w:rsidRPr="00D16002" w:rsidRDefault="00097462" w:rsidP="00D16002">
      <w:pPr>
        <w:rPr>
          <w:rFonts w:asciiTheme="minorHAnsi" w:hAnsiTheme="minorHAnsi" w:cstheme="minorHAnsi"/>
          <w:sz w:val="26"/>
          <w:szCs w:val="26"/>
        </w:rPr>
      </w:pPr>
    </w:p>
    <w:p w14:paraId="1A64BA02" w14:textId="589E01C9" w:rsidR="00831D95" w:rsidRDefault="00097462" w:rsidP="00097462">
      <w:pPr>
        <w:jc w:val="center"/>
        <w:rPr>
          <w:rFonts w:ascii="Times New Roman" w:hAnsi="Times New Roman"/>
          <w:sz w:val="24"/>
          <w:szCs w:val="24"/>
        </w:rPr>
      </w:pPr>
      <w:r w:rsidRPr="00CF68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2F7DE4F0" wp14:editId="4D306622">
                <wp:extent cx="4572000" cy="1404620"/>
                <wp:effectExtent l="0" t="0" r="19050" b="177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A1BF" w14:textId="77777777" w:rsidR="00097462" w:rsidRDefault="00097462" w:rsidP="0009746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NFIP Community Rating System Credits.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Adoption and enforcement of this higher standard may qualify for CRS points (credits). Communities should review the </w:t>
                            </w:r>
                            <w:hyperlink r:id="rId12" w:history="1">
                              <w:r w:rsidRPr="00F663CB">
                                <w:rPr>
                                  <w:rStyle w:val="Hyperlink"/>
                                  <w:rFonts w:asciiTheme="minorHAnsi" w:hAnsiTheme="minorHAnsi" w:cstheme="minorHAnsi"/>
                                  <w:i/>
                                  <w:sz w:val="22"/>
                                  <w:szCs w:val="22"/>
                                </w:rPr>
                                <w:t>CRS Coordinators Manual</w:t>
                              </w:r>
                            </w:hyperlink>
                            <w:r w:rsidRPr="0061288D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and consult with their CRS Resource Specialists. FEMA/ISO determines which provisions qualify for points.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7DE4F0" id="Text Box 2" o:spid="_x0000_s1027" type="#_x0000_t202" style="width:5in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">
                <v:textbox style="mso-fit-shape-to-text:t">
                  <w:txbxContent>
                    <w:p w14:paraId="66BCA1BF" w14:textId="77777777" w:rsidR="00097462" w:rsidRDefault="00097462" w:rsidP="0009746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NFIP Community Rating System Credits.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Adoption and enforcement of this higher standard may qualify for CRS points (credits). Communities should review the </w:t>
                      </w:r>
                      <w:hyperlink r:id="rId13" w:history="1">
                        <w:r w:rsidRPr="00F663CB">
                          <w:rPr>
                            <w:rStyle w:val="Hyperlink"/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CRS Coordinators Manual</w:t>
                        </w:r>
                      </w:hyperlink>
                      <w:r w:rsidRPr="0061288D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and consult with their CRS Resource Specialists. FEMA/ISO determines which provisions qualify for points.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B76C7D" w14:textId="77777777" w:rsidR="00097462" w:rsidRDefault="00097462" w:rsidP="003510BB">
      <w:pPr>
        <w:rPr>
          <w:rFonts w:ascii="Times New Roman" w:hAnsi="Times New Roman"/>
          <w:sz w:val="24"/>
          <w:szCs w:val="24"/>
        </w:rPr>
      </w:pPr>
    </w:p>
    <w:p w14:paraId="3495242C" w14:textId="7E391551" w:rsidR="00D16002" w:rsidRPr="009F2B59" w:rsidRDefault="009C5AE3" w:rsidP="00D16002">
      <w:pPr>
        <w:rPr>
          <w:rFonts w:asciiTheme="minorHAnsi" w:hAnsiTheme="minorHAnsi" w:cstheme="minorHAnsi"/>
          <w:sz w:val="26"/>
          <w:szCs w:val="26"/>
        </w:rPr>
      </w:pPr>
      <w:r w:rsidRPr="009F2B59">
        <w:rPr>
          <w:rFonts w:asciiTheme="minorHAnsi" w:hAnsiTheme="minorHAnsi" w:cstheme="minorHAnsi"/>
          <w:b/>
          <w:sz w:val="26"/>
          <w:szCs w:val="26"/>
          <w:u w:val="single"/>
        </w:rPr>
        <w:t xml:space="preserve">How </w:t>
      </w:r>
      <w:r w:rsidR="00727BF5">
        <w:rPr>
          <w:rFonts w:asciiTheme="minorHAnsi" w:hAnsiTheme="minorHAnsi" w:cstheme="minorHAnsi"/>
          <w:b/>
          <w:sz w:val="26"/>
          <w:szCs w:val="26"/>
          <w:u w:val="single"/>
        </w:rPr>
        <w:t>Part 2.5</w:t>
      </w:r>
      <w:r w:rsidR="00D51D6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9F2B59">
        <w:rPr>
          <w:rFonts w:asciiTheme="minorHAnsi" w:hAnsiTheme="minorHAnsi" w:cstheme="minorHAnsi"/>
          <w:b/>
          <w:sz w:val="26"/>
          <w:szCs w:val="26"/>
          <w:u w:val="single"/>
        </w:rPr>
        <w:t xml:space="preserve">specifies </w:t>
      </w:r>
      <w:r w:rsidR="00D16002">
        <w:rPr>
          <w:rFonts w:asciiTheme="minorHAnsi" w:hAnsiTheme="minorHAnsi" w:cstheme="minorHAnsi"/>
          <w:b/>
          <w:sz w:val="26"/>
          <w:szCs w:val="26"/>
          <w:u w:val="single"/>
        </w:rPr>
        <w:t>compliance with ASCE 24</w:t>
      </w:r>
      <w:r w:rsidRPr="009F2B59">
        <w:rPr>
          <w:rFonts w:asciiTheme="minorHAnsi" w:hAnsiTheme="minorHAnsi" w:cstheme="minorHAnsi"/>
          <w:b/>
          <w:sz w:val="26"/>
          <w:szCs w:val="26"/>
          <w:u w:val="single"/>
        </w:rPr>
        <w:t>:</w:t>
      </w:r>
      <w:r w:rsidR="004F782B">
        <w:rPr>
          <w:rFonts w:asciiTheme="minorHAnsi" w:hAnsiTheme="minorHAnsi" w:cstheme="minorHAnsi"/>
          <w:sz w:val="26"/>
          <w:szCs w:val="26"/>
        </w:rPr>
        <w:t xml:space="preserve">  </w:t>
      </w:r>
      <w:r w:rsidR="00727BF5">
        <w:rPr>
          <w:rFonts w:asciiTheme="minorHAnsi" w:hAnsiTheme="minorHAnsi" w:cstheme="minorHAnsi"/>
          <w:sz w:val="26"/>
          <w:szCs w:val="26"/>
        </w:rPr>
        <w:t xml:space="preserve">Part 2.5 </w:t>
      </w:r>
      <w:r w:rsidR="004F782B">
        <w:rPr>
          <w:rFonts w:asciiTheme="minorHAnsi" w:hAnsiTheme="minorHAnsi" w:cstheme="minorHAnsi"/>
          <w:sz w:val="26"/>
          <w:szCs w:val="26"/>
        </w:rPr>
        <w:t>Section R322.1.1</w:t>
      </w:r>
      <w:r w:rsidR="00D51D60">
        <w:rPr>
          <w:rFonts w:asciiTheme="minorHAnsi" w:hAnsiTheme="minorHAnsi" w:cstheme="minorHAnsi"/>
          <w:sz w:val="26"/>
          <w:szCs w:val="26"/>
        </w:rPr>
        <w:t xml:space="preserve"> </w:t>
      </w:r>
      <w:r w:rsidR="00D16002" w:rsidRPr="00D16002">
        <w:rPr>
          <w:rFonts w:asciiTheme="minorHAnsi" w:hAnsiTheme="minorHAnsi" w:cstheme="minorHAnsi"/>
          <w:sz w:val="26"/>
          <w:szCs w:val="26"/>
        </w:rPr>
        <w:t xml:space="preserve">permits ASCE 24 as an alternative to the requirements in Section </w:t>
      </w:r>
      <w:proofErr w:type="gramStart"/>
      <w:r w:rsidR="00D16002" w:rsidRPr="00D16002">
        <w:rPr>
          <w:rFonts w:asciiTheme="minorHAnsi" w:hAnsiTheme="minorHAnsi" w:cstheme="minorHAnsi"/>
          <w:sz w:val="26"/>
          <w:szCs w:val="26"/>
        </w:rPr>
        <w:t>R322, but</w:t>
      </w:r>
      <w:proofErr w:type="gramEnd"/>
      <w:r w:rsidR="00D16002" w:rsidRPr="00D16002">
        <w:rPr>
          <w:rFonts w:asciiTheme="minorHAnsi" w:hAnsiTheme="minorHAnsi" w:cstheme="minorHAnsi"/>
          <w:sz w:val="26"/>
          <w:szCs w:val="26"/>
        </w:rPr>
        <w:t xml:space="preserve"> does not require it as a reference standard except in floodways. Requiring </w:t>
      </w:r>
      <w:r w:rsidR="004F782B">
        <w:rPr>
          <w:rFonts w:asciiTheme="minorHAnsi" w:hAnsiTheme="minorHAnsi" w:cstheme="minorHAnsi"/>
          <w:sz w:val="26"/>
          <w:szCs w:val="26"/>
        </w:rPr>
        <w:t xml:space="preserve">all </w:t>
      </w:r>
      <w:r w:rsidR="00D16002" w:rsidRPr="00D16002">
        <w:rPr>
          <w:rFonts w:asciiTheme="minorHAnsi" w:hAnsiTheme="minorHAnsi" w:cstheme="minorHAnsi"/>
          <w:sz w:val="26"/>
          <w:szCs w:val="26"/>
        </w:rPr>
        <w:t xml:space="preserve">dwellings to be designed in accordance with ASCE 24 ensures consideration of flood loads in accordance with the standards of </w:t>
      </w:r>
      <w:r w:rsidR="00D16002">
        <w:rPr>
          <w:rFonts w:asciiTheme="minorHAnsi" w:hAnsiTheme="minorHAnsi" w:cstheme="minorHAnsi"/>
          <w:sz w:val="26"/>
          <w:szCs w:val="26"/>
        </w:rPr>
        <w:t xml:space="preserve">professional </w:t>
      </w:r>
      <w:r w:rsidR="00D16002" w:rsidRPr="00D16002">
        <w:rPr>
          <w:rFonts w:asciiTheme="minorHAnsi" w:hAnsiTheme="minorHAnsi" w:cstheme="minorHAnsi"/>
          <w:sz w:val="26"/>
          <w:szCs w:val="26"/>
        </w:rPr>
        <w:t>practice.</w:t>
      </w:r>
    </w:p>
    <w:p w14:paraId="66012195" w14:textId="77777777" w:rsidR="006B67DD" w:rsidRPr="009F2B59" w:rsidRDefault="006B67DD">
      <w:pPr>
        <w:widowControl/>
        <w:spacing w:before="120" w:after="12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54724903" w14:textId="77777777" w:rsidR="008F0BD5" w:rsidRPr="009F2B59" w:rsidRDefault="008F0BD5">
      <w:pPr>
        <w:widowControl/>
        <w:spacing w:before="120" w:after="12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F2B59">
        <w:rPr>
          <w:rFonts w:asciiTheme="minorHAnsi" w:hAnsiTheme="minorHAnsi" w:cstheme="minorHAnsi"/>
          <w:b/>
          <w:sz w:val="26"/>
          <w:szCs w:val="26"/>
          <w:u w:val="single"/>
        </w:rPr>
        <w:t>INSTRUCTIONS</w:t>
      </w:r>
    </w:p>
    <w:p w14:paraId="2D58E710" w14:textId="17C2B223" w:rsidR="008051C9" w:rsidRPr="00EE66CA" w:rsidRDefault="0084618D" w:rsidP="008051C9">
      <w:pPr>
        <w:tabs>
          <w:tab w:val="left" w:pos="-720"/>
        </w:tabs>
        <w:suppressAutoHyphens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Amend </w:t>
      </w:r>
      <w:r w:rsidR="00727BF5">
        <w:rPr>
          <w:rFonts w:asciiTheme="minorHAnsi" w:hAnsiTheme="minorHAnsi" w:cstheme="minorHAnsi"/>
          <w:b/>
          <w:bCs/>
          <w:sz w:val="26"/>
          <w:szCs w:val="26"/>
        </w:rPr>
        <w:t>Part 2.5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(1- and 2-family dwellings and townhouses less than three stories). </w:t>
      </w:r>
      <w:r>
        <w:rPr>
          <w:rFonts w:asciiTheme="minorHAnsi" w:hAnsiTheme="minorHAnsi" w:cstheme="minorHAnsi"/>
          <w:sz w:val="26"/>
          <w:szCs w:val="26"/>
        </w:rPr>
        <w:t xml:space="preserve">Add a section to the ordinance that adopts local technical amendments to </w:t>
      </w:r>
      <w:r w:rsidR="00727BF5">
        <w:rPr>
          <w:rFonts w:asciiTheme="minorHAnsi" w:hAnsiTheme="minorHAnsi" w:cstheme="minorHAnsi"/>
          <w:sz w:val="26"/>
          <w:szCs w:val="26"/>
        </w:rPr>
        <w:t>Part 2.5</w:t>
      </w:r>
      <w:r>
        <w:rPr>
          <w:rFonts w:asciiTheme="minorHAnsi" w:hAnsiTheme="minorHAnsi" w:cstheme="minorHAnsi"/>
          <w:sz w:val="26"/>
          <w:szCs w:val="26"/>
        </w:rPr>
        <w:t xml:space="preserve">.  To make the changes discernable, maintain strikethrough and underlining.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13"/>
      </w:tblGrid>
      <w:tr w:rsidR="008051C9" w14:paraId="0ABAEBDD" w14:textId="77777777" w:rsidTr="001F4D6E">
        <w:trPr>
          <w:cantSplit/>
        </w:trPr>
        <w:tc>
          <w:tcPr>
            <w:tcW w:w="9113" w:type="dxa"/>
          </w:tcPr>
          <w:p w14:paraId="3675FB89" w14:textId="77777777" w:rsidR="004F782B" w:rsidRDefault="004F782B" w:rsidP="004F782B">
            <w:pPr>
              <w:pStyle w:val="IBCRequirement"/>
              <w:keepNext w:val="0"/>
              <w:ind w:left="0"/>
              <w:rPr>
                <w:i/>
                <w:sz w:val="22"/>
              </w:rPr>
            </w:pPr>
          </w:p>
          <w:p w14:paraId="166EAED8" w14:textId="23389E4A" w:rsidR="009E3EE5" w:rsidRPr="004F782B" w:rsidRDefault="00727BF5" w:rsidP="004F782B">
            <w:pPr>
              <w:pStyle w:val="IBCRequirement"/>
              <w:keepNext w:val="0"/>
              <w:ind w:left="0"/>
              <w:rPr>
                <w:sz w:val="22"/>
              </w:rPr>
            </w:pPr>
            <w:r>
              <w:rPr>
                <w:i/>
                <w:sz w:val="22"/>
              </w:rPr>
              <w:t xml:space="preserve">CCR Title 2.5, </w:t>
            </w:r>
            <w:r w:rsidR="004F782B">
              <w:rPr>
                <w:i/>
                <w:sz w:val="22"/>
              </w:rPr>
              <w:t>Section R301.2.4 is hereby amended as follows</w:t>
            </w:r>
            <w:r w:rsidR="004F782B">
              <w:rPr>
                <w:sz w:val="22"/>
              </w:rPr>
              <w:t>:</w:t>
            </w:r>
          </w:p>
          <w:p w14:paraId="132DB644" w14:textId="77777777" w:rsidR="00C92EFE" w:rsidRPr="00C92EFE" w:rsidRDefault="00C92EFE" w:rsidP="00C92EFE">
            <w:pPr>
              <w:pStyle w:val="IBCRequirement"/>
              <w:rPr>
                <w:bCs/>
                <w:strike/>
                <w:sz w:val="22"/>
              </w:rPr>
            </w:pPr>
            <w:r w:rsidRPr="009E3EE5">
              <w:rPr>
                <w:b/>
                <w:bCs/>
                <w:sz w:val="22"/>
              </w:rPr>
              <w:t xml:space="preserve">R301.2.4 Floodplain construction. </w:t>
            </w:r>
            <w:r w:rsidRPr="009E3EE5">
              <w:rPr>
                <w:bCs/>
                <w:sz w:val="22"/>
              </w:rPr>
              <w:t>Buildings and structures constructed in whole or in part in flood hazard areas (including A or V Zones) as established in Table</w:t>
            </w:r>
            <w:r w:rsidRPr="00C92EFE">
              <w:rPr>
                <w:bCs/>
                <w:sz w:val="22"/>
              </w:rPr>
              <w:t xml:space="preserve"> R301.2(1), and substantial improvement and repair of substantial damage of buildings and structures in flood hazard areas, shall be designed and constructed in accordance with </w:t>
            </w:r>
            <w:r w:rsidRPr="00C92EFE">
              <w:rPr>
                <w:bCs/>
                <w:sz w:val="22"/>
                <w:u w:val="single"/>
              </w:rPr>
              <w:t>ASCE 24</w:t>
            </w:r>
            <w:r w:rsidRPr="00C92EFE">
              <w:rPr>
                <w:bCs/>
                <w:sz w:val="22"/>
              </w:rPr>
              <w:t xml:space="preserve"> </w:t>
            </w:r>
            <w:r w:rsidRPr="00C92EFE">
              <w:rPr>
                <w:bCs/>
                <w:strike/>
                <w:sz w:val="22"/>
              </w:rPr>
              <w:t>Section R322</w:t>
            </w:r>
            <w:r w:rsidRPr="00C92EFE">
              <w:rPr>
                <w:bCs/>
                <w:sz w:val="22"/>
              </w:rPr>
              <w:t xml:space="preserve">. Buildings and structures that </w:t>
            </w:r>
            <w:proofErr w:type="gramStart"/>
            <w:r w:rsidRPr="00C92EFE">
              <w:rPr>
                <w:bCs/>
                <w:sz w:val="22"/>
              </w:rPr>
              <w:t>are located in</w:t>
            </w:r>
            <w:proofErr w:type="gramEnd"/>
            <w:r w:rsidRPr="00C92EFE">
              <w:rPr>
                <w:bCs/>
                <w:sz w:val="22"/>
              </w:rPr>
              <w:t xml:space="preserve"> more than one flood hazard area shall comply with the provisions associated with the most restrictive flood hazard area. </w:t>
            </w:r>
            <w:r w:rsidRPr="00C92EFE">
              <w:rPr>
                <w:bCs/>
                <w:strike/>
                <w:sz w:val="22"/>
              </w:rPr>
              <w:t>Buildings and structures located in whole or in part in identified floodways shall be designed and constructed in accordance with ASCE 24.</w:t>
            </w:r>
          </w:p>
          <w:p w14:paraId="5BB5FC7C" w14:textId="77777777" w:rsidR="00C92EFE" w:rsidRDefault="00C92EFE" w:rsidP="00C92EFE">
            <w:pPr>
              <w:pStyle w:val="StyleIBC1"/>
              <w:rPr>
                <w:rFonts w:ascii="Arial" w:hAnsi="Arial" w:cs="Arial"/>
              </w:rPr>
            </w:pPr>
          </w:p>
          <w:p w14:paraId="262EF603" w14:textId="4E1D51DA" w:rsidR="009E3EE5" w:rsidRPr="009E3EE5" w:rsidRDefault="00727BF5" w:rsidP="004F782B">
            <w:pPr>
              <w:pStyle w:val="IBCRequirement"/>
              <w:keepNext w:val="0"/>
              <w:ind w:left="0"/>
              <w:rPr>
                <w:sz w:val="22"/>
              </w:rPr>
            </w:pPr>
            <w:r>
              <w:rPr>
                <w:i/>
                <w:sz w:val="22"/>
              </w:rPr>
              <w:t xml:space="preserve">CCR Title 2.5, </w:t>
            </w:r>
            <w:r w:rsidR="004F782B">
              <w:rPr>
                <w:i/>
                <w:sz w:val="22"/>
              </w:rPr>
              <w:t>Section R322.1 is hereby amended as follows</w:t>
            </w:r>
            <w:r w:rsidR="004F782B">
              <w:rPr>
                <w:sz w:val="22"/>
              </w:rPr>
              <w:t>:</w:t>
            </w:r>
          </w:p>
          <w:p w14:paraId="72A09A84" w14:textId="77777777" w:rsidR="009E3EE5" w:rsidRPr="009E3EE5" w:rsidRDefault="009E3EE5" w:rsidP="009E3E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2C94E" w14:textId="77777777" w:rsidR="00C92EFE" w:rsidRPr="00C92EFE" w:rsidRDefault="00C92EFE" w:rsidP="00C92EFE">
            <w:pPr>
              <w:pStyle w:val="IBCRequirement"/>
              <w:rPr>
                <w:sz w:val="22"/>
              </w:rPr>
            </w:pPr>
            <w:r w:rsidRPr="00C92EFE">
              <w:rPr>
                <w:b/>
                <w:sz w:val="22"/>
              </w:rPr>
              <w:t>R322.1 General.</w:t>
            </w:r>
            <w:r w:rsidRPr="00C92EFE">
              <w:rPr>
                <w:sz w:val="22"/>
              </w:rPr>
              <w:t xml:space="preserve"> Buildings and structures constructed in whole or in part in flood hazard areas, including A or V Zones and Coastal A Zones, as established in Table R301.2(1), and substantial improvement and repair of substantial damage of buildings and structures in flood hazard areas, shall be designed and constructed in accordance with </w:t>
            </w:r>
            <w:r w:rsidRPr="00C92EFE">
              <w:rPr>
                <w:sz w:val="22"/>
                <w:u w:val="single"/>
              </w:rPr>
              <w:t>ASCE 24</w:t>
            </w:r>
            <w:r w:rsidRPr="00C92EFE">
              <w:rPr>
                <w:sz w:val="22"/>
              </w:rPr>
              <w:t xml:space="preserve"> </w:t>
            </w:r>
            <w:r w:rsidRPr="00C92EFE">
              <w:rPr>
                <w:strike/>
                <w:sz w:val="22"/>
              </w:rPr>
              <w:t>the provisions contained in this section</w:t>
            </w:r>
            <w:r w:rsidRPr="00C92EFE">
              <w:rPr>
                <w:sz w:val="22"/>
              </w:rPr>
              <w:t xml:space="preserve">. Buildings and structures that </w:t>
            </w:r>
            <w:proofErr w:type="gramStart"/>
            <w:r w:rsidRPr="00C92EFE">
              <w:rPr>
                <w:sz w:val="22"/>
              </w:rPr>
              <w:t>are located in</w:t>
            </w:r>
            <w:proofErr w:type="gramEnd"/>
            <w:r w:rsidRPr="00C92EFE">
              <w:rPr>
                <w:sz w:val="22"/>
              </w:rPr>
              <w:t xml:space="preserve"> more than one flood hazard area shall comply with the provisions associated with the most restrictive flood hazard area. </w:t>
            </w:r>
            <w:r w:rsidRPr="00C92EFE">
              <w:rPr>
                <w:strike/>
                <w:sz w:val="22"/>
              </w:rPr>
              <w:t xml:space="preserve">Buildings and structures located in whole or in part in identified floodways shall be designed and constructed in accordance with ASCE 24. </w:t>
            </w:r>
          </w:p>
          <w:p w14:paraId="51998CC9" w14:textId="3477379D" w:rsidR="00C92EFE" w:rsidRDefault="00C92EFE" w:rsidP="009E3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A0286" w14:textId="683AADFA" w:rsidR="005C026D" w:rsidRPr="005D41A2" w:rsidRDefault="005C026D" w:rsidP="0093485F">
      <w:pPr>
        <w:widowControl/>
        <w:spacing w:before="120" w:after="120"/>
        <w:rPr>
          <w:rFonts w:asciiTheme="minorHAnsi" w:hAnsiTheme="minorHAnsi" w:cstheme="minorHAnsi"/>
          <w:sz w:val="28"/>
          <w:szCs w:val="28"/>
        </w:rPr>
      </w:pPr>
    </w:p>
    <w:sectPr w:rsidR="005C026D" w:rsidRPr="005D41A2" w:rsidSect="003A660F">
      <w:footerReference w:type="default" r:id="rId14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B24A1" w14:textId="77777777" w:rsidR="005A34A3" w:rsidRDefault="005A34A3" w:rsidP="00273EEE">
      <w:r>
        <w:separator/>
      </w:r>
    </w:p>
  </w:endnote>
  <w:endnote w:type="continuationSeparator" w:id="0">
    <w:p w14:paraId="3DF6AACA" w14:textId="77777777" w:rsidR="005A34A3" w:rsidRDefault="005A34A3" w:rsidP="0027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5A26F" w14:textId="29B28778" w:rsidR="00273EEE" w:rsidRPr="00AD2806" w:rsidRDefault="00273EEE">
    <w:pPr>
      <w:pStyle w:val="Footer"/>
      <w:rPr>
        <w:rFonts w:ascii="Arial" w:hAnsi="Arial" w:cs="Arial"/>
        <w:i/>
      </w:rPr>
    </w:pPr>
    <w:r>
      <w:rPr>
        <w:rFonts w:ascii="Arial" w:hAnsi="Arial" w:cs="Arial"/>
      </w:rPr>
      <w:t xml:space="preserve">Higher Standard: </w:t>
    </w:r>
    <w:r w:rsidRPr="007E256F">
      <w:rPr>
        <w:rFonts w:ascii="Arial" w:hAnsi="Arial" w:cs="Arial"/>
      </w:rPr>
      <w:t xml:space="preserve"> </w:t>
    </w:r>
    <w:r w:rsidR="00AD2806" w:rsidRPr="007E256F">
      <w:rPr>
        <w:rFonts w:ascii="Arial" w:hAnsi="Arial" w:cs="Arial"/>
      </w:rPr>
      <w:t xml:space="preserve">Require Dwellings to be Designed to ASCE 24 </w:t>
    </w:r>
    <w:r w:rsidR="0013591C" w:rsidRPr="005624E0">
      <w:rPr>
        <w:rFonts w:ascii="Arial" w:hAnsi="Arial" w:cs="Arial"/>
      </w:rPr>
      <w:t>(</w:t>
    </w:r>
    <w:r w:rsidR="008310F0">
      <w:rPr>
        <w:rFonts w:ascii="Arial" w:hAnsi="Arial" w:cs="Arial"/>
      </w:rPr>
      <w:t>December</w:t>
    </w:r>
    <w:r w:rsidR="00727BF5">
      <w:rPr>
        <w:rFonts w:ascii="Arial" w:hAnsi="Arial" w:cs="Arial"/>
      </w:rPr>
      <w:t xml:space="preserve"> 2020</w:t>
    </w:r>
    <w:r w:rsidR="009F2B59">
      <w:rPr>
        <w:rFonts w:ascii="Arial" w:hAnsi="Arial" w:cs="Arial"/>
      </w:rPr>
      <w:t>)</w:t>
    </w:r>
    <w:r>
      <w:rPr>
        <w:rFonts w:ascii="Arial" w:hAnsi="Arial" w:cs="Arial"/>
      </w:rPr>
      <w:tab/>
    </w:r>
    <w:r w:rsidR="00E821F7" w:rsidRPr="00273EEE">
      <w:rPr>
        <w:rFonts w:ascii="Arial" w:hAnsi="Arial" w:cs="Arial"/>
      </w:rPr>
      <w:fldChar w:fldCharType="begin"/>
    </w:r>
    <w:r w:rsidRPr="00273EEE">
      <w:rPr>
        <w:rFonts w:ascii="Arial" w:hAnsi="Arial" w:cs="Arial"/>
      </w:rPr>
      <w:instrText xml:space="preserve"> PAGE   \* MERGEFORMAT </w:instrText>
    </w:r>
    <w:r w:rsidR="00E821F7" w:rsidRPr="00273EEE">
      <w:rPr>
        <w:rFonts w:ascii="Arial" w:hAnsi="Arial" w:cs="Arial"/>
      </w:rPr>
      <w:fldChar w:fldCharType="separate"/>
    </w:r>
    <w:r w:rsidR="004254BC">
      <w:rPr>
        <w:rFonts w:ascii="Arial" w:hAnsi="Arial" w:cs="Arial"/>
        <w:noProof/>
      </w:rPr>
      <w:t>1</w:t>
    </w:r>
    <w:r w:rsidR="00E821F7" w:rsidRPr="00273EE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06C4F" w14:textId="77777777" w:rsidR="005A34A3" w:rsidRDefault="005A34A3" w:rsidP="00273EEE">
      <w:r>
        <w:separator/>
      </w:r>
    </w:p>
  </w:footnote>
  <w:footnote w:type="continuationSeparator" w:id="0">
    <w:p w14:paraId="03C32E30" w14:textId="77777777" w:rsidR="005A34A3" w:rsidRDefault="005A34A3" w:rsidP="00273EEE">
      <w:r>
        <w:continuationSeparator/>
      </w:r>
    </w:p>
  </w:footnote>
  <w:footnote w:id="1">
    <w:p w14:paraId="5ED0B572" w14:textId="2A60DE59" w:rsidR="00EE66CA" w:rsidRDefault="00EE66CA">
      <w:pPr>
        <w:pStyle w:val="FootnoteText"/>
      </w:pPr>
      <w:r>
        <w:rPr>
          <w:rStyle w:val="FootnoteReference"/>
        </w:rPr>
        <w:footnoteRef/>
      </w:r>
      <w:r w:rsidRPr="00EB6E63">
        <w:rPr>
          <w:rFonts w:asciiTheme="minorHAnsi" w:hAnsiTheme="minorHAnsi" w:cstheme="minorHAnsi"/>
        </w:rPr>
        <w:t xml:space="preserve">Reference:  </w:t>
      </w:r>
      <w:hyperlink r:id="rId1" w:history="1">
        <w:r w:rsidRPr="00EB6E63">
          <w:rPr>
            <w:rStyle w:val="Hyperlink"/>
            <w:rFonts w:asciiTheme="minorHAnsi" w:hAnsiTheme="minorHAnsi" w:cstheme="minorHAnsi"/>
            <w:i/>
          </w:rPr>
          <w:t>Reducing Flood Losses Through the International Codes: Coordinating Building Codes and Floodplain Management Regulations</w:t>
        </w:r>
      </w:hyperlink>
      <w:r w:rsidRPr="00EB6E63">
        <w:rPr>
          <w:rFonts w:asciiTheme="minorHAnsi" w:hAnsiTheme="minorHAnsi" w:cstheme="minorHAnsi"/>
          <w:i/>
        </w:rPr>
        <w:t xml:space="preserve"> </w:t>
      </w:r>
      <w:r w:rsidRPr="00EB6E63">
        <w:rPr>
          <w:rFonts w:asciiTheme="minorHAnsi" w:hAnsiTheme="minorHAnsi" w:cstheme="minorHAnsi"/>
        </w:rPr>
        <w:t>(5</w:t>
      </w:r>
      <w:r w:rsidRPr="00EB6E63">
        <w:rPr>
          <w:rFonts w:asciiTheme="minorHAnsi" w:hAnsiTheme="minorHAnsi" w:cstheme="minorHAnsi"/>
          <w:vertAlign w:val="superscript"/>
        </w:rPr>
        <w:t>th</w:t>
      </w:r>
      <w:r w:rsidRPr="00EB6E63">
        <w:rPr>
          <w:rFonts w:asciiTheme="minorHAnsi" w:hAnsiTheme="minorHAnsi" w:cstheme="minorHAnsi"/>
        </w:rPr>
        <w:t xml:space="preserve"> Edition, 2019), International Code Council and FEMA.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42D57"/>
    <w:multiLevelType w:val="hybridMultilevel"/>
    <w:tmpl w:val="CA9C70E4"/>
    <w:lvl w:ilvl="0" w:tplc="FB9C1B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A830D3"/>
    <w:multiLevelType w:val="hybridMultilevel"/>
    <w:tmpl w:val="D7F67A38"/>
    <w:lvl w:ilvl="0" w:tplc="4606CA5E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6C88A1E">
      <w:start w:val="1"/>
      <w:numFmt w:val="lowerLetter"/>
      <w:lvlText w:val="(%2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D6304AE"/>
    <w:multiLevelType w:val="hybridMultilevel"/>
    <w:tmpl w:val="5BF42B8C"/>
    <w:lvl w:ilvl="0" w:tplc="88D4AD5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275F4"/>
    <w:multiLevelType w:val="hybridMultilevel"/>
    <w:tmpl w:val="11A2E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F286C"/>
    <w:multiLevelType w:val="hybridMultilevel"/>
    <w:tmpl w:val="D8FCF0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3C123A"/>
    <w:multiLevelType w:val="hybridMultilevel"/>
    <w:tmpl w:val="F0488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4297B"/>
    <w:multiLevelType w:val="hybridMultilevel"/>
    <w:tmpl w:val="41A2494C"/>
    <w:lvl w:ilvl="0" w:tplc="5CD6F55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814AA"/>
    <w:multiLevelType w:val="hybridMultilevel"/>
    <w:tmpl w:val="CA9C70E4"/>
    <w:lvl w:ilvl="0" w:tplc="FB9C1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662539"/>
    <w:multiLevelType w:val="multilevel"/>
    <w:tmpl w:val="F2460D5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 w15:restartNumberingAfterBreak="0">
    <w:nsid w:val="3E7137FD"/>
    <w:multiLevelType w:val="hybridMultilevel"/>
    <w:tmpl w:val="23025B3A"/>
    <w:lvl w:ilvl="0" w:tplc="B1440F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F84"/>
    <w:multiLevelType w:val="hybridMultilevel"/>
    <w:tmpl w:val="F334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36EE"/>
    <w:multiLevelType w:val="hybridMultilevel"/>
    <w:tmpl w:val="F8E2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F6D71"/>
    <w:multiLevelType w:val="hybridMultilevel"/>
    <w:tmpl w:val="9E42E3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EB5539"/>
    <w:multiLevelType w:val="multilevel"/>
    <w:tmpl w:val="DFC29C7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 w15:restartNumberingAfterBreak="0">
    <w:nsid w:val="666F7A90"/>
    <w:multiLevelType w:val="hybridMultilevel"/>
    <w:tmpl w:val="5B58C924"/>
    <w:lvl w:ilvl="0" w:tplc="2782EC5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94AAD"/>
    <w:multiLevelType w:val="hybridMultilevel"/>
    <w:tmpl w:val="7750CCF2"/>
    <w:lvl w:ilvl="0" w:tplc="FB9C1B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6E1A3A79"/>
    <w:multiLevelType w:val="hybridMultilevel"/>
    <w:tmpl w:val="D7F67A38"/>
    <w:lvl w:ilvl="0" w:tplc="4606CA5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6C88A1E">
      <w:start w:val="1"/>
      <w:numFmt w:val="lowerLetter"/>
      <w:lvlText w:val="(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6E42310F"/>
    <w:multiLevelType w:val="hybridMultilevel"/>
    <w:tmpl w:val="7750CCF2"/>
    <w:lvl w:ilvl="0" w:tplc="FB9C1B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75A46A9C"/>
    <w:multiLevelType w:val="hybridMultilevel"/>
    <w:tmpl w:val="3F82C674"/>
    <w:lvl w:ilvl="0" w:tplc="62D268A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 w15:restartNumberingAfterBreak="0">
    <w:nsid w:val="79CE28D4"/>
    <w:multiLevelType w:val="hybridMultilevel"/>
    <w:tmpl w:val="2B301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17"/>
  </w:num>
  <w:num w:numId="5">
    <w:abstractNumId w:val="7"/>
  </w:num>
  <w:num w:numId="6">
    <w:abstractNumId w:val="11"/>
  </w:num>
  <w:num w:numId="7">
    <w:abstractNumId w:val="19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"/>
  </w:num>
  <w:num w:numId="17">
    <w:abstractNumId w:val="0"/>
  </w:num>
  <w:num w:numId="18">
    <w:abstractNumId w:val="4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BB"/>
    <w:rsid w:val="000019DA"/>
    <w:rsid w:val="00002E37"/>
    <w:rsid w:val="00010C68"/>
    <w:rsid w:val="000225FA"/>
    <w:rsid w:val="0002562F"/>
    <w:rsid w:val="00025762"/>
    <w:rsid w:val="0002685B"/>
    <w:rsid w:val="000322E0"/>
    <w:rsid w:val="00032C2A"/>
    <w:rsid w:val="00034CAC"/>
    <w:rsid w:val="000734FA"/>
    <w:rsid w:val="00073D73"/>
    <w:rsid w:val="00075DED"/>
    <w:rsid w:val="00076A36"/>
    <w:rsid w:val="000957F2"/>
    <w:rsid w:val="00097462"/>
    <w:rsid w:val="000A3BDC"/>
    <w:rsid w:val="000C32AB"/>
    <w:rsid w:val="000E170E"/>
    <w:rsid w:val="0013591C"/>
    <w:rsid w:val="001443C4"/>
    <w:rsid w:val="00145EEB"/>
    <w:rsid w:val="00160F6B"/>
    <w:rsid w:val="00173577"/>
    <w:rsid w:val="001D289D"/>
    <w:rsid w:val="001E3F2C"/>
    <w:rsid w:val="001E49A9"/>
    <w:rsid w:val="001F16E0"/>
    <w:rsid w:val="001F2688"/>
    <w:rsid w:val="001F317D"/>
    <w:rsid w:val="001F4D6E"/>
    <w:rsid w:val="00207439"/>
    <w:rsid w:val="00212BA0"/>
    <w:rsid w:val="00213C3C"/>
    <w:rsid w:val="00221D55"/>
    <w:rsid w:val="00227DE4"/>
    <w:rsid w:val="00241056"/>
    <w:rsid w:val="002414FB"/>
    <w:rsid w:val="00243696"/>
    <w:rsid w:val="00250F18"/>
    <w:rsid w:val="00255924"/>
    <w:rsid w:val="00256C74"/>
    <w:rsid w:val="002633E6"/>
    <w:rsid w:val="00265724"/>
    <w:rsid w:val="002675D7"/>
    <w:rsid w:val="00273EEE"/>
    <w:rsid w:val="00277B0C"/>
    <w:rsid w:val="002872ED"/>
    <w:rsid w:val="002927D3"/>
    <w:rsid w:val="00294DF4"/>
    <w:rsid w:val="002C4F50"/>
    <w:rsid w:val="002C5760"/>
    <w:rsid w:val="002C6876"/>
    <w:rsid w:val="002C79CE"/>
    <w:rsid w:val="002C7B99"/>
    <w:rsid w:val="002D31EF"/>
    <w:rsid w:val="002D3791"/>
    <w:rsid w:val="002D57EA"/>
    <w:rsid w:val="002E0DB9"/>
    <w:rsid w:val="002F54A3"/>
    <w:rsid w:val="00342B21"/>
    <w:rsid w:val="00343D8A"/>
    <w:rsid w:val="003505AC"/>
    <w:rsid w:val="003510BB"/>
    <w:rsid w:val="0036563E"/>
    <w:rsid w:val="00376E24"/>
    <w:rsid w:val="00383357"/>
    <w:rsid w:val="00385BEB"/>
    <w:rsid w:val="00397C44"/>
    <w:rsid w:val="003A660F"/>
    <w:rsid w:val="003C3801"/>
    <w:rsid w:val="003D20DE"/>
    <w:rsid w:val="003D3DB4"/>
    <w:rsid w:val="003D4EFB"/>
    <w:rsid w:val="003D67F5"/>
    <w:rsid w:val="003E244E"/>
    <w:rsid w:val="003F2DBD"/>
    <w:rsid w:val="003F3865"/>
    <w:rsid w:val="004112CA"/>
    <w:rsid w:val="004118EA"/>
    <w:rsid w:val="00411D73"/>
    <w:rsid w:val="00415A3C"/>
    <w:rsid w:val="004254BC"/>
    <w:rsid w:val="0043177A"/>
    <w:rsid w:val="00464FB6"/>
    <w:rsid w:val="00466CD4"/>
    <w:rsid w:val="00467D6B"/>
    <w:rsid w:val="00490D85"/>
    <w:rsid w:val="004A215D"/>
    <w:rsid w:val="004B3031"/>
    <w:rsid w:val="004C44B8"/>
    <w:rsid w:val="004D0BF0"/>
    <w:rsid w:val="004D2D10"/>
    <w:rsid w:val="004E4F45"/>
    <w:rsid w:val="004F5009"/>
    <w:rsid w:val="004F6805"/>
    <w:rsid w:val="004F782B"/>
    <w:rsid w:val="00500D70"/>
    <w:rsid w:val="00547A32"/>
    <w:rsid w:val="00552A37"/>
    <w:rsid w:val="005624E0"/>
    <w:rsid w:val="00571CED"/>
    <w:rsid w:val="005850DE"/>
    <w:rsid w:val="00586399"/>
    <w:rsid w:val="005A1CA9"/>
    <w:rsid w:val="005A34A3"/>
    <w:rsid w:val="005C026D"/>
    <w:rsid w:val="005D41A2"/>
    <w:rsid w:val="005F6538"/>
    <w:rsid w:val="00602446"/>
    <w:rsid w:val="00604491"/>
    <w:rsid w:val="0061390D"/>
    <w:rsid w:val="0061695B"/>
    <w:rsid w:val="0064517F"/>
    <w:rsid w:val="00661CA7"/>
    <w:rsid w:val="006716BB"/>
    <w:rsid w:val="00680D7D"/>
    <w:rsid w:val="00697451"/>
    <w:rsid w:val="006A6520"/>
    <w:rsid w:val="006B67DD"/>
    <w:rsid w:val="006B767D"/>
    <w:rsid w:val="006D7082"/>
    <w:rsid w:val="006E5F2E"/>
    <w:rsid w:val="00706812"/>
    <w:rsid w:val="00706CD4"/>
    <w:rsid w:val="00707D74"/>
    <w:rsid w:val="00710D0D"/>
    <w:rsid w:val="00715954"/>
    <w:rsid w:val="00720D79"/>
    <w:rsid w:val="00725C52"/>
    <w:rsid w:val="00727BF5"/>
    <w:rsid w:val="0075066E"/>
    <w:rsid w:val="00756CC3"/>
    <w:rsid w:val="00784178"/>
    <w:rsid w:val="00787308"/>
    <w:rsid w:val="00793AF9"/>
    <w:rsid w:val="007A6764"/>
    <w:rsid w:val="007C0024"/>
    <w:rsid w:val="007C5F09"/>
    <w:rsid w:val="007C6727"/>
    <w:rsid w:val="007D39D5"/>
    <w:rsid w:val="007E256F"/>
    <w:rsid w:val="008040A2"/>
    <w:rsid w:val="008051C9"/>
    <w:rsid w:val="0080648C"/>
    <w:rsid w:val="008174C4"/>
    <w:rsid w:val="00822DA4"/>
    <w:rsid w:val="008310F0"/>
    <w:rsid w:val="00831D95"/>
    <w:rsid w:val="008345C1"/>
    <w:rsid w:val="008353B3"/>
    <w:rsid w:val="00836A9A"/>
    <w:rsid w:val="0084585D"/>
    <w:rsid w:val="0084618D"/>
    <w:rsid w:val="0085387F"/>
    <w:rsid w:val="00855D7B"/>
    <w:rsid w:val="00857BBD"/>
    <w:rsid w:val="00897708"/>
    <w:rsid w:val="008F0BD5"/>
    <w:rsid w:val="00927E2D"/>
    <w:rsid w:val="0093485F"/>
    <w:rsid w:val="00936481"/>
    <w:rsid w:val="0094244D"/>
    <w:rsid w:val="0095125C"/>
    <w:rsid w:val="00954EA8"/>
    <w:rsid w:val="00975AFF"/>
    <w:rsid w:val="009962C0"/>
    <w:rsid w:val="00997D92"/>
    <w:rsid w:val="009A4603"/>
    <w:rsid w:val="009A74DD"/>
    <w:rsid w:val="009B2E58"/>
    <w:rsid w:val="009C0043"/>
    <w:rsid w:val="009C5AE3"/>
    <w:rsid w:val="009D5E5A"/>
    <w:rsid w:val="009E3EE5"/>
    <w:rsid w:val="009F2B59"/>
    <w:rsid w:val="00A0620E"/>
    <w:rsid w:val="00A43454"/>
    <w:rsid w:val="00A65FCE"/>
    <w:rsid w:val="00AD0C4D"/>
    <w:rsid w:val="00AD2806"/>
    <w:rsid w:val="00AD5EBB"/>
    <w:rsid w:val="00AE6ED4"/>
    <w:rsid w:val="00B00932"/>
    <w:rsid w:val="00B13135"/>
    <w:rsid w:val="00B21F95"/>
    <w:rsid w:val="00B2565D"/>
    <w:rsid w:val="00B25AD4"/>
    <w:rsid w:val="00B2638B"/>
    <w:rsid w:val="00B4006E"/>
    <w:rsid w:val="00B61CDC"/>
    <w:rsid w:val="00B75958"/>
    <w:rsid w:val="00B777E7"/>
    <w:rsid w:val="00B9420F"/>
    <w:rsid w:val="00BA1D14"/>
    <w:rsid w:val="00BB195B"/>
    <w:rsid w:val="00BB4AF1"/>
    <w:rsid w:val="00BB69F2"/>
    <w:rsid w:val="00C04D2B"/>
    <w:rsid w:val="00C054AE"/>
    <w:rsid w:val="00C058D8"/>
    <w:rsid w:val="00C22B44"/>
    <w:rsid w:val="00C25F6B"/>
    <w:rsid w:val="00C2690C"/>
    <w:rsid w:val="00C3303D"/>
    <w:rsid w:val="00C33B8C"/>
    <w:rsid w:val="00C3424D"/>
    <w:rsid w:val="00C44018"/>
    <w:rsid w:val="00C66EFE"/>
    <w:rsid w:val="00C70A09"/>
    <w:rsid w:val="00C72E7B"/>
    <w:rsid w:val="00C922E3"/>
    <w:rsid w:val="00C92EFE"/>
    <w:rsid w:val="00C96208"/>
    <w:rsid w:val="00CA2450"/>
    <w:rsid w:val="00CA6DF3"/>
    <w:rsid w:val="00CB1698"/>
    <w:rsid w:val="00CB2723"/>
    <w:rsid w:val="00CD2FB9"/>
    <w:rsid w:val="00CD30D4"/>
    <w:rsid w:val="00CD7E49"/>
    <w:rsid w:val="00CE494B"/>
    <w:rsid w:val="00D043F9"/>
    <w:rsid w:val="00D16002"/>
    <w:rsid w:val="00D4263B"/>
    <w:rsid w:val="00D51D60"/>
    <w:rsid w:val="00D8176D"/>
    <w:rsid w:val="00D8522F"/>
    <w:rsid w:val="00DB3393"/>
    <w:rsid w:val="00DB6C00"/>
    <w:rsid w:val="00DB77C9"/>
    <w:rsid w:val="00DC0C1A"/>
    <w:rsid w:val="00E02465"/>
    <w:rsid w:val="00E3643A"/>
    <w:rsid w:val="00E43DBD"/>
    <w:rsid w:val="00E57BD6"/>
    <w:rsid w:val="00E7430C"/>
    <w:rsid w:val="00E821F7"/>
    <w:rsid w:val="00E832A3"/>
    <w:rsid w:val="00E902FA"/>
    <w:rsid w:val="00EB3DD0"/>
    <w:rsid w:val="00EC23D2"/>
    <w:rsid w:val="00EC3F08"/>
    <w:rsid w:val="00ED73E3"/>
    <w:rsid w:val="00ED7F00"/>
    <w:rsid w:val="00EE66CA"/>
    <w:rsid w:val="00F00B45"/>
    <w:rsid w:val="00F049DD"/>
    <w:rsid w:val="00F1173D"/>
    <w:rsid w:val="00F132BC"/>
    <w:rsid w:val="00F13B0F"/>
    <w:rsid w:val="00F13F41"/>
    <w:rsid w:val="00F14205"/>
    <w:rsid w:val="00F14279"/>
    <w:rsid w:val="00F157CC"/>
    <w:rsid w:val="00F20500"/>
    <w:rsid w:val="00F32CA1"/>
    <w:rsid w:val="00F4079F"/>
    <w:rsid w:val="00F61785"/>
    <w:rsid w:val="00FB4F76"/>
    <w:rsid w:val="00FC283B"/>
    <w:rsid w:val="00FC3170"/>
    <w:rsid w:val="00FC6295"/>
    <w:rsid w:val="00FC7B4C"/>
    <w:rsid w:val="00FD1DE8"/>
    <w:rsid w:val="00FE1AC3"/>
    <w:rsid w:val="00FE5B78"/>
    <w:rsid w:val="00FE5E9E"/>
    <w:rsid w:val="00FF011B"/>
    <w:rsid w:val="00FF0493"/>
    <w:rsid w:val="00FF283B"/>
    <w:rsid w:val="3A3081BF"/>
    <w:rsid w:val="6F65CFB8"/>
    <w:rsid w:val="7B96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57FED"/>
  <w15:docId w15:val="{FDBA7D6D-20D9-4BED-95BA-AE174FC0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BB"/>
    <w:pPr>
      <w:widowControl w:val="0"/>
      <w:spacing w:before="0" w:after="0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D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3DB4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3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3DB4"/>
    <w:rPr>
      <w:rFonts w:ascii="Courier New" w:eastAsiaTheme="minorHAnsi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B4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3DB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DB4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3510BB"/>
    <w:rPr>
      <w:rFonts w:asciiTheme="majorHAnsi" w:eastAsiaTheme="majorEastAsia" w:hAnsiTheme="majorHAnsi" w:cstheme="majorBidi"/>
      <w:b/>
      <w:bCs/>
      <w:snapToGrid w:val="0"/>
      <w:sz w:val="26"/>
      <w:szCs w:val="26"/>
    </w:rPr>
  </w:style>
  <w:style w:type="paragraph" w:customStyle="1" w:styleId="LetteredParaHeadings">
    <w:name w:val="Lettered Para Headings"/>
    <w:basedOn w:val="Normal"/>
    <w:rsid w:val="003510BB"/>
    <w:pPr>
      <w:widowControl/>
      <w:spacing w:before="120"/>
      <w:ind w:left="1170" w:hanging="450"/>
    </w:pPr>
    <w:rPr>
      <w:rFonts w:ascii="Times New Roman" w:hAnsi="Times New Roman"/>
      <w:snapToGrid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3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EEE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3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EEE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CommentReference">
    <w:name w:val="annotation reference"/>
    <w:basedOn w:val="DefaultParagraphFont"/>
    <w:rsid w:val="00034C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4CAC"/>
    <w:pPr>
      <w:widowControl/>
    </w:pPr>
    <w:rPr>
      <w:rFonts w:ascii="Bookman Old Style" w:hAnsi="Bookman Old Style"/>
      <w:snapToGrid/>
    </w:rPr>
  </w:style>
  <w:style w:type="character" w:customStyle="1" w:styleId="CommentTextChar">
    <w:name w:val="Comment Text Char"/>
    <w:basedOn w:val="DefaultParagraphFont"/>
    <w:link w:val="CommentText"/>
    <w:rsid w:val="00034CAC"/>
    <w:rPr>
      <w:rFonts w:ascii="Bookman Old Style" w:eastAsia="Times New Roman" w:hAnsi="Bookman Old Styl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B45"/>
    <w:pPr>
      <w:widowControl w:val="0"/>
    </w:pPr>
    <w:rPr>
      <w:rFonts w:ascii="Courier New" w:hAnsi="Courier New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B45"/>
    <w:rPr>
      <w:rFonts w:ascii="Courier New" w:eastAsia="Times New Roman" w:hAnsi="Courier New" w:cs="Times New Roman"/>
      <w:b/>
      <w:bCs/>
      <w:snapToGrid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7C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7C9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77C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D41A2"/>
    <w:rPr>
      <w:color w:val="800080" w:themeColor="followedHyperlink"/>
      <w:u w:val="single"/>
    </w:rPr>
  </w:style>
  <w:style w:type="paragraph" w:customStyle="1" w:styleId="IBCRequirement">
    <w:name w:val="IBC Requirement"/>
    <w:qFormat/>
    <w:rsid w:val="00C92EFE"/>
    <w:pPr>
      <w:keepNext/>
      <w:tabs>
        <w:tab w:val="left" w:pos="432"/>
      </w:tabs>
      <w:ind w:left="432"/>
    </w:pPr>
    <w:rPr>
      <w:rFonts w:ascii="Arial" w:eastAsia="Times New Roman" w:hAnsi="Arial" w:cs="Arial"/>
      <w:sz w:val="20"/>
    </w:rPr>
  </w:style>
  <w:style w:type="paragraph" w:customStyle="1" w:styleId="StyleIBC1">
    <w:name w:val="Style IBC +1"/>
    <w:basedOn w:val="Normal"/>
    <w:rsid w:val="00C92EFE"/>
    <w:pPr>
      <w:widowControl/>
      <w:spacing w:before="120" w:after="120"/>
    </w:pPr>
    <w:rPr>
      <w:rFonts w:ascii="Times New Roman" w:hAnsi="Times New Roman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R_NFIP@water.ca.gov" TargetMode="External"/><Relationship Id="rId13" Type="http://schemas.openxmlformats.org/officeDocument/2006/relationships/hyperlink" Target="https://www.fema.gov/media-library/assets/documents/87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ma.gov/media-library/assets/documents/876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MA-NFIP-R9@fema.dhs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WR_NFIP@wate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MA-NFIP-R9@fema.dhs.gov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ma.gov/media-library/assets/documents/966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0A2C-5A02-4F15-BCD6-C7B190AA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2540</Characters>
  <Application>Microsoft Office Word</Application>
  <DocSecurity>0</DocSecurity>
  <Lines>21</Lines>
  <Paragraphs>5</Paragraphs>
  <ScaleCrop>false</ScaleCrop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RCQuinn</dc:creator>
  <cp:lastModifiedBy>Nikki</cp:lastModifiedBy>
  <cp:revision>11</cp:revision>
  <dcterms:created xsi:type="dcterms:W3CDTF">2020-02-25T19:25:00Z</dcterms:created>
  <dcterms:modified xsi:type="dcterms:W3CDTF">2021-05-06T15:00:00Z</dcterms:modified>
</cp:coreProperties>
</file>