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6A0F" w14:textId="47A168C2" w:rsidR="00371C2F" w:rsidRPr="00371C2F" w:rsidRDefault="00371C2F" w:rsidP="00371C2F">
      <w:pPr>
        <w:jc w:val="center"/>
      </w:pPr>
      <w:r>
        <w:rPr>
          <w:b/>
          <w:bCs/>
        </w:rPr>
        <w:t>PROPOSIT</w:t>
      </w:r>
      <w:r w:rsidR="00592CE1">
        <w:rPr>
          <w:b/>
          <w:bCs/>
        </w:rPr>
        <w:t>IO</w:t>
      </w:r>
      <w:r>
        <w:rPr>
          <w:b/>
          <w:bCs/>
        </w:rPr>
        <w:t>N 4</w:t>
      </w:r>
      <w:r w:rsidRPr="00371C2F">
        <w:rPr>
          <w:b/>
          <w:bCs/>
        </w:rPr>
        <w:t xml:space="preserve"> EMERGENCY IMPLEMENTATION REGULATIONS</w:t>
      </w:r>
    </w:p>
    <w:p w14:paraId="2D45A5EE" w14:textId="6CB782BE" w:rsidR="00371C2F" w:rsidRPr="00371C2F" w:rsidRDefault="00371C2F" w:rsidP="00371C2F">
      <w:pPr>
        <w:jc w:val="center"/>
      </w:pPr>
      <w:r w:rsidRPr="00371C2F">
        <w:rPr>
          <w:b/>
          <w:bCs/>
        </w:rPr>
        <w:t>NOTICE OF PROPOSED EMERGENCY RULEMAKING ACTION</w:t>
      </w:r>
    </w:p>
    <w:p w14:paraId="63FB6530" w14:textId="571F91E2" w:rsidR="00371C2F" w:rsidRPr="00371C2F" w:rsidRDefault="00371C2F" w:rsidP="00371C2F">
      <w:pPr>
        <w:jc w:val="center"/>
      </w:pPr>
      <w:r w:rsidRPr="00371C2F">
        <w:rPr>
          <w:b/>
          <w:bCs/>
        </w:rPr>
        <w:t>REGARDING</w:t>
      </w:r>
    </w:p>
    <w:p w14:paraId="3E65D873" w14:textId="712C6ED4" w:rsidR="00371C2F" w:rsidRPr="00371C2F" w:rsidRDefault="00371C2F" w:rsidP="00371C2F">
      <w:pPr>
        <w:jc w:val="center"/>
      </w:pPr>
      <w:r w:rsidRPr="00371C2F">
        <w:rPr>
          <w:b/>
          <w:bCs/>
        </w:rPr>
        <w:t>CALIFORNIA CODE OF REGULATIONS</w:t>
      </w:r>
    </w:p>
    <w:p w14:paraId="642D90D6" w14:textId="50A4B227" w:rsidR="00371C2F" w:rsidRPr="00371C2F" w:rsidRDefault="00371C2F" w:rsidP="00371C2F">
      <w:pPr>
        <w:jc w:val="center"/>
      </w:pPr>
      <w:r w:rsidRPr="00371C2F">
        <w:rPr>
          <w:b/>
          <w:bCs/>
        </w:rPr>
        <w:t>TITLE 14. NATURAL RESOURCES</w:t>
      </w:r>
    </w:p>
    <w:p w14:paraId="431A5282" w14:textId="23DF6EB4" w:rsidR="00371C2F" w:rsidRPr="00371C2F" w:rsidRDefault="00371C2F" w:rsidP="00371C2F">
      <w:pPr>
        <w:jc w:val="center"/>
      </w:pPr>
      <w:r w:rsidRPr="00371C2F">
        <w:rPr>
          <w:b/>
          <w:bCs/>
        </w:rPr>
        <w:t xml:space="preserve">DIVISION </w:t>
      </w:r>
      <w:r w:rsidR="00724946">
        <w:rPr>
          <w:b/>
          <w:bCs/>
        </w:rPr>
        <w:t>6</w:t>
      </w:r>
      <w:r w:rsidRPr="00371C2F">
        <w:rPr>
          <w:b/>
          <w:bCs/>
        </w:rPr>
        <w:t xml:space="preserve">. </w:t>
      </w:r>
      <w:r w:rsidR="00724946">
        <w:rPr>
          <w:b/>
          <w:bCs/>
        </w:rPr>
        <w:t>RESOURCES AGENCY</w:t>
      </w:r>
    </w:p>
    <w:p w14:paraId="4F25781E" w14:textId="626B8C35" w:rsidR="00724946" w:rsidRDefault="00371C2F" w:rsidP="00724946">
      <w:pPr>
        <w:jc w:val="center"/>
        <w:rPr>
          <w:b/>
          <w:bCs/>
        </w:rPr>
      </w:pPr>
      <w:r w:rsidRPr="00371C2F">
        <w:rPr>
          <w:b/>
          <w:bCs/>
        </w:rPr>
        <w:t>CHAPTER</w:t>
      </w:r>
      <w:r w:rsidR="00724946">
        <w:rPr>
          <w:b/>
          <w:bCs/>
        </w:rPr>
        <w:t xml:space="preserve"> 2</w:t>
      </w:r>
      <w:r w:rsidRPr="00371C2F">
        <w:rPr>
          <w:b/>
          <w:bCs/>
        </w:rPr>
        <w:t>.</w:t>
      </w:r>
    </w:p>
    <w:p w14:paraId="29678B90" w14:textId="087BE6FE" w:rsidR="00724946" w:rsidRDefault="00724946" w:rsidP="00724946">
      <w:pPr>
        <w:jc w:val="center"/>
        <w:rPr>
          <w:b/>
          <w:bCs/>
        </w:rPr>
      </w:pPr>
      <w:r>
        <w:rPr>
          <w:b/>
          <w:bCs/>
        </w:rPr>
        <w:t>CALIFORNIA NATURAL RESOURCES AGENCY</w:t>
      </w:r>
    </w:p>
    <w:p w14:paraId="403D5E64" w14:textId="154FEDE4" w:rsidR="0078014B" w:rsidRDefault="0078014B" w:rsidP="0078014B">
      <w:pPr>
        <w:jc w:val="center"/>
        <w:rPr>
          <w:b/>
          <w:bCs/>
        </w:rPr>
      </w:pPr>
      <w:bookmarkStart w:id="0" w:name="_Hlk215751571"/>
      <w:r>
        <w:rPr>
          <w:b/>
          <w:bCs/>
        </w:rPr>
        <w:t xml:space="preserve">PROPOSITION 4 </w:t>
      </w:r>
      <w:r w:rsidRPr="0078014B">
        <w:rPr>
          <w:b/>
          <w:bCs/>
        </w:rPr>
        <w:t>SAFE DRINKING WATER, WILDFIRE PREVENTION, DROUGHT PREPAREDNESS, AND CLEAN AIR BOND ACT OF 2024</w:t>
      </w:r>
      <w:bookmarkEnd w:id="0"/>
    </w:p>
    <w:p w14:paraId="2D43AB8F" w14:textId="6E54C1D8" w:rsidR="00371C2F" w:rsidRPr="00371C2F" w:rsidRDefault="0078014B" w:rsidP="0078014B">
      <w:pPr>
        <w:jc w:val="center"/>
      </w:pPr>
      <w:r>
        <w:rPr>
          <w:b/>
          <w:bCs/>
        </w:rPr>
        <w:t xml:space="preserve">GRANT AWARDS PROCESS </w:t>
      </w:r>
    </w:p>
    <w:p w14:paraId="18195542" w14:textId="55FEF5B4" w:rsidR="00371C2F" w:rsidRPr="00371C2F" w:rsidRDefault="00371C2F" w:rsidP="00371C2F">
      <w:r w:rsidRPr="00371C2F">
        <w:t xml:space="preserve">Notice Published </w:t>
      </w:r>
      <w:r w:rsidR="005E7111" w:rsidRPr="00AA05D9">
        <w:t>January 12, 2026.</w:t>
      </w:r>
      <w:r w:rsidR="005E7111" w:rsidRPr="00371C2F">
        <w:t xml:space="preserve"> </w:t>
      </w:r>
    </w:p>
    <w:p w14:paraId="1EE88352" w14:textId="383AEBBF" w:rsidR="00371C2F" w:rsidRPr="00371C2F" w:rsidRDefault="00371C2F" w:rsidP="00371C2F">
      <w:r w:rsidRPr="00371C2F">
        <w:rPr>
          <w:b/>
          <w:bCs/>
        </w:rPr>
        <w:t xml:space="preserve">NOTICE IS HEREBY GIVEN </w:t>
      </w:r>
      <w:r w:rsidRPr="00371C2F">
        <w:t xml:space="preserve">that the California </w:t>
      </w:r>
      <w:r w:rsidR="00724946">
        <w:t xml:space="preserve">Natural Resources Agency (“CNRA”) </w:t>
      </w:r>
      <w:r w:rsidRPr="00371C2F">
        <w:t xml:space="preserve">proposes to adopt emergency regulations necessary to protect public health, safety, and the environment, by ensuring the immediate implementation of </w:t>
      </w:r>
      <w:r>
        <w:t xml:space="preserve">Proposition 4’s requirements that </w:t>
      </w:r>
      <w:r w:rsidR="00724946">
        <w:t xml:space="preserve">CNRA </w:t>
      </w:r>
      <w:r>
        <w:t xml:space="preserve">issue grants for </w:t>
      </w:r>
      <w:r w:rsidR="00724946">
        <w:t>urban greening</w:t>
      </w:r>
      <w:r w:rsidRPr="00371C2F">
        <w:t>. This action is being taken in accordance with Government Code sections 11346.1 and 11349.6 of the California Administrative Procedure Act</w:t>
      </w:r>
      <w:r>
        <w:t>, and Public Resources Code section</w:t>
      </w:r>
      <w:r w:rsidR="008700C3">
        <w:t>s 92</w:t>
      </w:r>
      <w:r w:rsidR="00724946">
        <w:t xml:space="preserve">530 and </w:t>
      </w:r>
      <w:r>
        <w:t>90135</w:t>
      </w:r>
      <w:r w:rsidRPr="00371C2F">
        <w:t xml:space="preserve">. </w:t>
      </w:r>
      <w:r w:rsidR="008700C3">
        <w:t>It is authorized by Public Resources Code section 90</w:t>
      </w:r>
      <w:r w:rsidR="00724946">
        <w:t>500 and 92530</w:t>
      </w:r>
      <w:r w:rsidR="008700C3">
        <w:t xml:space="preserve">. </w:t>
      </w:r>
    </w:p>
    <w:p w14:paraId="53B6BE19" w14:textId="77777777" w:rsidR="00371C2F" w:rsidRPr="00371C2F" w:rsidRDefault="00371C2F" w:rsidP="00371C2F">
      <w:r w:rsidRPr="00371C2F">
        <w:t xml:space="preserve">Government Code section 11346.1, subdivision (a)(2), requires that, at least five working days prior to submission of a proposed emergency action to OAL, the adopting agency </w:t>
      </w:r>
      <w:proofErr w:type="gramStart"/>
      <w:r w:rsidRPr="00371C2F">
        <w:t>provide</w:t>
      </w:r>
      <w:proofErr w:type="gramEnd"/>
      <w:r w:rsidRPr="00371C2F">
        <w:t xml:space="preserve"> </w:t>
      </w:r>
      <w:proofErr w:type="gramStart"/>
      <w:r w:rsidRPr="00371C2F">
        <w:t>a notice</w:t>
      </w:r>
      <w:proofErr w:type="gramEnd"/>
      <w:r w:rsidRPr="00371C2F">
        <w:t xml:space="preserve"> of the proposed emergency action to every person who has filed a request for notice of regulatory action with the agency. After submission of the proposed emergency action to OAL, OAL shall post the notice of proposed emergency action on its website and allow interested persons five calendar days to submit comments on the proposed emergency regulations, as set forth in Government Code section 11349.6. </w:t>
      </w:r>
    </w:p>
    <w:p w14:paraId="24A7A345" w14:textId="77777777" w:rsidR="00371C2F" w:rsidRPr="00371C2F" w:rsidRDefault="00371C2F" w:rsidP="00371C2F">
      <w:r w:rsidRPr="00371C2F">
        <w:rPr>
          <w:b/>
          <w:bCs/>
        </w:rPr>
        <w:t xml:space="preserve">PUBLIC COMMENT </w:t>
      </w:r>
    </w:p>
    <w:p w14:paraId="4E2F4DE8" w14:textId="4A9E91DA" w:rsidR="00371C2F" w:rsidRPr="00371C2F" w:rsidRDefault="00371C2F" w:rsidP="00371C2F">
      <w:r w:rsidRPr="00371C2F">
        <w:t xml:space="preserve">If you wish to comment on the proposed emergency action, please submit your comment directly to both OAL and </w:t>
      </w:r>
      <w:r w:rsidR="00724946">
        <w:t>CNRA</w:t>
      </w:r>
      <w:r w:rsidRPr="00371C2F">
        <w:t xml:space="preserve"> within five calendar days of OAL’s posting of the proposed emergency regulations on the OAL website. You may submit comments to OAL and </w:t>
      </w:r>
      <w:r w:rsidR="00724946">
        <w:t xml:space="preserve">CNRA </w:t>
      </w:r>
      <w:r w:rsidRPr="00371C2F">
        <w:t xml:space="preserve">at the following addresses: </w:t>
      </w:r>
    </w:p>
    <w:p w14:paraId="4D69E1F8" w14:textId="77777777" w:rsidR="00371C2F" w:rsidRPr="00371C2F" w:rsidRDefault="00371C2F" w:rsidP="00371C2F">
      <w:pPr>
        <w:spacing w:after="0"/>
      </w:pPr>
      <w:r w:rsidRPr="00371C2F">
        <w:lastRenderedPageBreak/>
        <w:t xml:space="preserve">OAL Reference Attorney </w:t>
      </w:r>
    </w:p>
    <w:p w14:paraId="720ECCC5" w14:textId="77777777" w:rsidR="00371C2F" w:rsidRPr="00371C2F" w:rsidRDefault="00371C2F" w:rsidP="00371C2F">
      <w:pPr>
        <w:spacing w:after="0"/>
      </w:pPr>
      <w:r w:rsidRPr="00371C2F">
        <w:t xml:space="preserve">300 Capital Mall, Suite 1250 </w:t>
      </w:r>
    </w:p>
    <w:p w14:paraId="3CD28E10" w14:textId="77777777" w:rsidR="00371C2F" w:rsidRPr="00371C2F" w:rsidRDefault="00371C2F" w:rsidP="00371C2F">
      <w:pPr>
        <w:spacing w:after="0"/>
      </w:pPr>
      <w:r w:rsidRPr="00371C2F">
        <w:t xml:space="preserve">Sacramento, CA 95814 </w:t>
      </w:r>
    </w:p>
    <w:p w14:paraId="74A0D640" w14:textId="77777777" w:rsidR="00371C2F" w:rsidRPr="00371C2F" w:rsidRDefault="00371C2F" w:rsidP="00371C2F">
      <w:pPr>
        <w:spacing w:after="0"/>
      </w:pPr>
      <w:r w:rsidRPr="00371C2F">
        <w:t xml:space="preserve">staff@oal.ca.gov </w:t>
      </w:r>
    </w:p>
    <w:p w14:paraId="158E762A" w14:textId="77777777" w:rsidR="00724946" w:rsidRDefault="00724946" w:rsidP="00371C2F">
      <w:pPr>
        <w:spacing w:after="0"/>
      </w:pPr>
    </w:p>
    <w:p w14:paraId="5948384E" w14:textId="1EE8D421" w:rsidR="00371C2F" w:rsidRPr="00371C2F" w:rsidRDefault="00724946" w:rsidP="00371C2F">
      <w:pPr>
        <w:spacing w:after="0"/>
      </w:pPr>
      <w:r>
        <w:t>California Natural Resources Agency</w:t>
      </w:r>
    </w:p>
    <w:p w14:paraId="42A4E745" w14:textId="384581F3" w:rsidR="00371C2F" w:rsidRPr="00371C2F" w:rsidRDefault="00371C2F" w:rsidP="00371C2F">
      <w:pPr>
        <w:spacing w:after="0"/>
      </w:pPr>
      <w:r w:rsidRPr="00371C2F">
        <w:t xml:space="preserve">715 P Street, </w:t>
      </w:r>
      <w:r w:rsidR="00724946">
        <w:t>20</w:t>
      </w:r>
      <w:r w:rsidR="00724946" w:rsidRPr="00724946">
        <w:rPr>
          <w:vertAlign w:val="superscript"/>
        </w:rPr>
        <w:t>th</w:t>
      </w:r>
      <w:r w:rsidR="00724946">
        <w:t xml:space="preserve"> Floor</w:t>
      </w:r>
    </w:p>
    <w:p w14:paraId="4B49213A" w14:textId="77777777" w:rsidR="00371C2F" w:rsidRPr="00371C2F" w:rsidRDefault="00371C2F" w:rsidP="00371C2F">
      <w:pPr>
        <w:spacing w:after="0"/>
      </w:pPr>
      <w:r w:rsidRPr="00371C2F">
        <w:t xml:space="preserve">Sacramento, CA 95814 </w:t>
      </w:r>
    </w:p>
    <w:p w14:paraId="4F8C7BC5" w14:textId="3149709E" w:rsidR="00371C2F" w:rsidRDefault="00371C2F" w:rsidP="0001533D">
      <w:pPr>
        <w:spacing w:after="0"/>
      </w:pPr>
      <w:r w:rsidRPr="00371C2F">
        <w:t xml:space="preserve">Attn: </w:t>
      </w:r>
      <w:r w:rsidR="00724946">
        <w:t>Bonds &amp; Grants Unit</w:t>
      </w:r>
      <w:r w:rsidRPr="00371C2F">
        <w:t xml:space="preserve"> </w:t>
      </w:r>
    </w:p>
    <w:p w14:paraId="42AB1BC1" w14:textId="5576EABC" w:rsidR="0001533D" w:rsidRDefault="0001533D" w:rsidP="0001533D">
      <w:pPr>
        <w:spacing w:after="0"/>
      </w:pPr>
      <w:hyperlink r:id="rId8" w:history="1">
        <w:r w:rsidRPr="00635D03">
          <w:rPr>
            <w:rStyle w:val="Hyperlink"/>
          </w:rPr>
          <w:t>urbangreening@resources.ca.gov</w:t>
        </w:r>
      </w:hyperlink>
    </w:p>
    <w:p w14:paraId="36CA4587" w14:textId="152B828F" w:rsidR="00371C2F" w:rsidRPr="00371C2F" w:rsidRDefault="00371C2F" w:rsidP="0001533D">
      <w:pPr>
        <w:spacing w:before="160"/>
      </w:pPr>
      <w:r w:rsidRPr="00371C2F">
        <w:t xml:space="preserve">OAL will confirm that </w:t>
      </w:r>
      <w:r w:rsidR="00724946">
        <w:t xml:space="preserve">CNRA </w:t>
      </w:r>
      <w:r w:rsidRPr="00371C2F">
        <w:t xml:space="preserve">has received each comment before considering it. Pursuant to California Code of Regulations, title 1, section 55, subdivision (b)(1) through (4), the comment must state that it is about an emergency regulation currently under OAL review and include the topic of the emergency. </w:t>
      </w:r>
    </w:p>
    <w:p w14:paraId="08DA2A4E" w14:textId="72486B0C" w:rsidR="00371C2F" w:rsidRPr="00371C2F" w:rsidRDefault="00371C2F" w:rsidP="00371C2F">
      <w:r w:rsidRPr="00371C2F">
        <w:t xml:space="preserve">Adoption of emergency regulations does not require response to submitted comments. Where responses are issued by </w:t>
      </w:r>
      <w:r w:rsidR="00724946">
        <w:t xml:space="preserve">CNRA </w:t>
      </w:r>
      <w:r w:rsidRPr="00371C2F">
        <w:t xml:space="preserve">they will be submitted to OAL within eight calendar days following the date of submission of the proposed emergency regulations to OAL, unless specific exceptions are applicable. </w:t>
      </w:r>
    </w:p>
    <w:p w14:paraId="3495B925" w14:textId="77777777" w:rsidR="00371C2F" w:rsidRPr="008E6618" w:rsidRDefault="00371C2F" w:rsidP="00371C2F">
      <w:pPr>
        <w:rPr>
          <w:b/>
          <w:bCs/>
        </w:rPr>
      </w:pPr>
      <w:r w:rsidRPr="008E6618">
        <w:rPr>
          <w:b/>
          <w:bCs/>
        </w:rPr>
        <w:t xml:space="preserve">FINDING OF EMERGENCY </w:t>
      </w:r>
    </w:p>
    <w:p w14:paraId="45214B65" w14:textId="5A16DDF7" w:rsidR="00A87817" w:rsidRPr="008E6618" w:rsidRDefault="009F62CC" w:rsidP="00A87817">
      <w:pPr>
        <w:rPr>
          <w:rFonts w:cs="Arial"/>
        </w:rPr>
      </w:pPr>
      <w:r w:rsidRPr="008E6618">
        <w:rPr>
          <w:rFonts w:cs="Arial"/>
        </w:rPr>
        <w:t xml:space="preserve">This was deemed an emergency pursuant to </w:t>
      </w:r>
      <w:r w:rsidR="00A87817" w:rsidRPr="008E6618">
        <w:rPr>
          <w:rFonts w:cs="Arial"/>
        </w:rPr>
        <w:t xml:space="preserve">Public Resources Code 90135, subdivision (e) </w:t>
      </w:r>
      <w:r w:rsidRPr="008E6618">
        <w:rPr>
          <w:rFonts w:cs="Arial"/>
        </w:rPr>
        <w:t xml:space="preserve">which </w:t>
      </w:r>
      <w:r w:rsidR="00A87817" w:rsidRPr="008E6618">
        <w:rPr>
          <w:rFonts w:cs="Arial"/>
        </w:rPr>
        <w:t>states</w:t>
      </w:r>
      <w:r w:rsidRPr="008E6618">
        <w:rPr>
          <w:rFonts w:cs="Arial"/>
        </w:rPr>
        <w:t xml:space="preserve"> the following</w:t>
      </w:r>
      <w:r w:rsidR="00A87817" w:rsidRPr="008E6618">
        <w:rPr>
          <w:rFonts w:cs="Arial"/>
        </w:rPr>
        <w:t xml:space="preserve">: </w:t>
      </w:r>
    </w:p>
    <w:p w14:paraId="1602023A" w14:textId="48FE186E" w:rsidR="00A87817" w:rsidRPr="008E6618" w:rsidRDefault="00A87817" w:rsidP="00A87817">
      <w:pPr>
        <w:rPr>
          <w:rFonts w:cs="Arial"/>
        </w:rPr>
      </w:pPr>
      <w:r w:rsidRPr="008E6618">
        <w:rPr>
          <w:rFonts w:cs="Arial"/>
        </w:rPr>
        <w:t>(1</w:t>
      </w:r>
      <w:r w:rsidR="008E6618">
        <w:rPr>
          <w:rFonts w:cs="Arial"/>
        </w:rPr>
        <w:t xml:space="preserve"> </w:t>
      </w:r>
      <w:r w:rsidRPr="008E6618">
        <w:rPr>
          <w:rFonts w:cs="Arial"/>
        </w:rPr>
        <w:t>)</w:t>
      </w:r>
      <w:r w:rsidR="0046473E">
        <w:rPr>
          <w:rFonts w:cs="Arial"/>
        </w:rPr>
        <w:t xml:space="preserve"> </w:t>
      </w:r>
      <w:r w:rsidRPr="008E6618">
        <w:rPr>
          <w:rFonts w:cs="Arial"/>
        </w:rPr>
        <w:t>A regulation for the purpose of developing and adopting program guidelines and selection criteria needed to effectuate or implement the programs included in Chapter 2 (commencing with </w:t>
      </w:r>
      <w:hyperlink r:id="rId9" w:history="1">
        <w:r w:rsidRPr="008E6618">
          <w:rPr>
            <w:rStyle w:val="Hyperlink"/>
            <w:rFonts w:cs="Arial"/>
          </w:rPr>
          <w:t>Section 91000</w:t>
        </w:r>
      </w:hyperlink>
      <w:r w:rsidRPr="008E6618">
        <w:rPr>
          <w:rFonts w:cs="Arial"/>
        </w:rPr>
        <w:t>) to Chapter 9 (commencing with </w:t>
      </w:r>
      <w:hyperlink r:id="rId10" w:history="1">
        <w:r w:rsidRPr="008E6618">
          <w:rPr>
            <w:rStyle w:val="Hyperlink"/>
            <w:rFonts w:cs="Arial"/>
          </w:rPr>
          <w:t>Section 94500</w:t>
        </w:r>
      </w:hyperlink>
      <w:r w:rsidRPr="008E6618">
        <w:rPr>
          <w:rFonts w:cs="Arial"/>
        </w:rPr>
        <w:t>), inclusive, of this division may be adopted as an emergency regulation in accordance with Chapter 3.5 (commencing with Section 11340) of Part 1 of Division 3 of Title 2 of the Government Code, and for purposes of that chapter, including </w:t>
      </w:r>
      <w:hyperlink r:id="rId11" w:history="1">
        <w:r w:rsidRPr="008E6618">
          <w:rPr>
            <w:rStyle w:val="Hyperlink"/>
            <w:rFonts w:cs="Arial"/>
          </w:rPr>
          <w:t>Section 11349.6</w:t>
        </w:r>
      </w:hyperlink>
      <w:r w:rsidRPr="008E6618">
        <w:rPr>
          <w:rFonts w:cs="Arial"/>
        </w:rPr>
        <w:t> of the Government Code, the adoption of regulations is an emergency and shall be considered by the Office of Administrative Law as necessary for the immediate preservation of the public peace, health, safety, and general welfare, and a state agency is hereby exempted from the requirement that it describe facts showing the need for immediate action.</w:t>
      </w:r>
    </w:p>
    <w:p w14:paraId="71A7DA45" w14:textId="2E2B1C6B" w:rsidR="00A87817" w:rsidRPr="008E6618" w:rsidRDefault="00A87817" w:rsidP="00371C2F">
      <w:pPr>
        <w:rPr>
          <w:rFonts w:cs="Arial"/>
        </w:rPr>
      </w:pPr>
      <w:r w:rsidRPr="008E6618">
        <w:rPr>
          <w:rFonts w:cs="Arial"/>
        </w:rPr>
        <w:t>(</w:t>
      </w:r>
      <w:r w:rsidR="00875DFC" w:rsidRPr="008E6618">
        <w:rPr>
          <w:rFonts w:cs="Arial"/>
        </w:rPr>
        <w:t>2) Notwithstanding</w:t>
      </w:r>
      <w:r w:rsidRPr="008E6618">
        <w:rPr>
          <w:rFonts w:cs="Arial"/>
        </w:rPr>
        <w:t xml:space="preserve"> Chapter 3.5 (commencing with Section 11340) of Part 1 of Division 3 of Title 2 of the Government Code, an emergency regulation adopted pursuant to this subdivision shall be filed with, but not be repealed by, the Office of Administrative Law, and shall remain in effect until repealed or amended by the adopting state agency.</w:t>
      </w:r>
    </w:p>
    <w:p w14:paraId="5F9478D3" w14:textId="77777777" w:rsidR="00371C2F" w:rsidRDefault="00371C2F" w:rsidP="0046473E">
      <w:pPr>
        <w:keepNext/>
        <w:rPr>
          <w:b/>
          <w:bCs/>
        </w:rPr>
      </w:pPr>
      <w:r w:rsidRPr="00371C2F">
        <w:rPr>
          <w:b/>
          <w:bCs/>
        </w:rPr>
        <w:lastRenderedPageBreak/>
        <w:t xml:space="preserve">AUTHORITY AND REFERENCE </w:t>
      </w:r>
    </w:p>
    <w:p w14:paraId="0B2D129F" w14:textId="5D3441B8" w:rsidR="00592CE1" w:rsidRPr="00592CE1" w:rsidRDefault="001C5E9F" w:rsidP="00371C2F">
      <w:pPr>
        <w:rPr>
          <w:spacing w:val="-14"/>
          <w:w w:val="105"/>
          <w:u w:val="single"/>
        </w:rPr>
      </w:pPr>
      <w:r w:rsidRPr="000C4602">
        <w:rPr>
          <w:u w:val="single"/>
        </w:rPr>
        <w:t>Authority</w:t>
      </w:r>
      <w:r w:rsidRPr="000C4602">
        <w:rPr>
          <w:spacing w:val="-14"/>
          <w:w w:val="105"/>
          <w:u w:val="single"/>
        </w:rPr>
        <w:t xml:space="preserve"> cited: Section 90135</w:t>
      </w:r>
      <w:r w:rsidR="00875DFC" w:rsidRPr="000C4602">
        <w:rPr>
          <w:spacing w:val="-14"/>
          <w:w w:val="105"/>
          <w:u w:val="single"/>
        </w:rPr>
        <w:t>,</w:t>
      </w:r>
      <w:r w:rsidRPr="000C4602">
        <w:rPr>
          <w:spacing w:val="-14"/>
          <w:w w:val="105"/>
          <w:u w:val="single"/>
        </w:rPr>
        <w:t xml:space="preserve"> Public Resources Code. Reference: Sections</w:t>
      </w:r>
      <w:r w:rsidR="00875DFC" w:rsidRPr="000C4602">
        <w:rPr>
          <w:spacing w:val="-14"/>
          <w:w w:val="105"/>
          <w:u w:val="single"/>
        </w:rPr>
        <w:t xml:space="preserve"> </w:t>
      </w:r>
      <w:r w:rsidR="000C4602" w:rsidRPr="000C4602">
        <w:rPr>
          <w:spacing w:val="-14"/>
          <w:w w:val="105"/>
          <w:u w:val="single"/>
        </w:rPr>
        <w:t xml:space="preserve">90135 </w:t>
      </w:r>
      <w:r w:rsidR="00875DFC" w:rsidRPr="000C4602">
        <w:rPr>
          <w:spacing w:val="-14"/>
          <w:w w:val="105"/>
          <w:u w:val="single"/>
        </w:rPr>
        <w:t xml:space="preserve">and </w:t>
      </w:r>
      <w:r w:rsidRPr="000C4602">
        <w:rPr>
          <w:spacing w:val="-14"/>
          <w:w w:val="105"/>
          <w:u w:val="single"/>
        </w:rPr>
        <w:t>92</w:t>
      </w:r>
      <w:r w:rsidR="00875DFC" w:rsidRPr="000C4602">
        <w:rPr>
          <w:spacing w:val="-14"/>
          <w:w w:val="105"/>
          <w:u w:val="single"/>
        </w:rPr>
        <w:t>530</w:t>
      </w:r>
      <w:r w:rsidR="00053D12" w:rsidRPr="000C4602">
        <w:rPr>
          <w:spacing w:val="-14"/>
          <w:w w:val="105"/>
          <w:u w:val="single"/>
        </w:rPr>
        <w:t xml:space="preserve"> </w:t>
      </w:r>
      <w:r w:rsidR="008475BC" w:rsidRPr="000C4602">
        <w:rPr>
          <w:spacing w:val="-14"/>
          <w:w w:val="105"/>
          <w:u w:val="single"/>
        </w:rPr>
        <w:t xml:space="preserve">of the </w:t>
      </w:r>
      <w:r w:rsidRPr="000C4602">
        <w:rPr>
          <w:spacing w:val="-14"/>
          <w:w w:val="105"/>
          <w:u w:val="single"/>
        </w:rPr>
        <w:t>Public Resources Code.</w:t>
      </w:r>
    </w:p>
    <w:p w14:paraId="443603F6" w14:textId="77777777" w:rsidR="00371C2F" w:rsidRPr="00371C2F" w:rsidRDefault="00371C2F" w:rsidP="00371C2F">
      <w:r w:rsidRPr="00371C2F">
        <w:rPr>
          <w:b/>
          <w:bCs/>
        </w:rPr>
        <w:t xml:space="preserve">INFORMATIVE DIGEST / POLICY STATEMENT </w:t>
      </w:r>
    </w:p>
    <w:p w14:paraId="6742DE3D" w14:textId="77777777" w:rsidR="00371C2F" w:rsidRPr="00371C2F" w:rsidRDefault="00371C2F" w:rsidP="00371C2F">
      <w:r w:rsidRPr="00371C2F">
        <w:rPr>
          <w:b/>
          <w:bCs/>
        </w:rPr>
        <w:t xml:space="preserve">Existing Law </w:t>
      </w:r>
    </w:p>
    <w:p w14:paraId="08F2D6A7" w14:textId="721E49A0" w:rsidR="00640D5A" w:rsidRPr="00640D5A" w:rsidRDefault="00875DFC" w:rsidP="006A051C">
      <w:r w:rsidRPr="00875DFC">
        <w:t>CNRA develop</w:t>
      </w:r>
      <w:r>
        <w:t>s</w:t>
      </w:r>
      <w:r w:rsidRPr="00875DFC">
        <w:t xml:space="preserve"> and administer</w:t>
      </w:r>
      <w:r>
        <w:t xml:space="preserve">s </w:t>
      </w:r>
      <w:r w:rsidRPr="00875DFC">
        <w:t xml:space="preserve">statewide local assistance grant programs. These programs </w:t>
      </w:r>
      <w:r>
        <w:t xml:space="preserve">include an Urban Greening Grant Program that has been previously funded by Proposition 84, </w:t>
      </w:r>
      <w:r w:rsidRPr="00875DFC">
        <w:t>the Safe Drinking Water, Water Quality and Supply, Flood Control, River and Coastal Protection Bond Act of 2006</w:t>
      </w:r>
      <w:r w:rsidR="008E6618">
        <w:t>;</w:t>
      </w:r>
      <w:r>
        <w:t xml:space="preserve"> California Climate Investments</w:t>
      </w:r>
      <w:r w:rsidR="008E6618">
        <w:t>;</w:t>
      </w:r>
      <w:r w:rsidR="00C829A8">
        <w:t xml:space="preserve"> and the General Fund. </w:t>
      </w:r>
      <w:r w:rsidR="008E6618">
        <w:t xml:space="preserve">Most recently, </w:t>
      </w:r>
      <w:r w:rsidR="00C829A8" w:rsidRPr="00C829A8">
        <w:t>P</w:t>
      </w:r>
      <w:r w:rsidR="00C829A8">
        <w:t xml:space="preserve">roposition 4, the Safe Drinking Water, Wildfire Prevention, Drought Preparedness, and Clean Air Bond Act of 2024, allocated funds to CNRA for competitive grants for urban greening. </w:t>
      </w:r>
    </w:p>
    <w:p w14:paraId="49C5DC7A" w14:textId="77777777" w:rsidR="00371C2F" w:rsidRPr="008E6618" w:rsidRDefault="00371C2F" w:rsidP="00371C2F">
      <w:r w:rsidRPr="008E6618">
        <w:rPr>
          <w:b/>
          <w:bCs/>
        </w:rPr>
        <w:t xml:space="preserve">Objectives and Benefits of the Emergency Regulations </w:t>
      </w:r>
    </w:p>
    <w:p w14:paraId="46A8004C" w14:textId="6D57831E" w:rsidR="00371C2F" w:rsidRPr="008E6618" w:rsidRDefault="00371C2F" w:rsidP="00371C2F">
      <w:pPr>
        <w:rPr>
          <w:spacing w:val="-9"/>
        </w:rPr>
      </w:pPr>
      <w:r w:rsidRPr="008E6618">
        <w:t xml:space="preserve">This emergency rulemaking is intended to interpret and make specific certain provisions of </w:t>
      </w:r>
      <w:r w:rsidR="0078014B" w:rsidRPr="008E6618">
        <w:t>Proposition 4 funding</w:t>
      </w:r>
      <w:r w:rsidR="00943EA4" w:rsidRPr="008E6618">
        <w:t xml:space="preserve"> in Public Resources Code section 92</w:t>
      </w:r>
      <w:r w:rsidR="0066778D" w:rsidRPr="008E6618">
        <w:t xml:space="preserve">530 </w:t>
      </w:r>
      <w:r w:rsidR="00945623" w:rsidRPr="008E6618">
        <w:t xml:space="preserve">so that grants can be issued for projects that </w:t>
      </w:r>
      <w:r w:rsidR="008E6618" w:rsidRPr="008E6618">
        <w:rPr>
          <w:spacing w:val="-9"/>
        </w:rPr>
        <w:t>mitigate the heat island effect, rising temperatures, and extreme heat impacts</w:t>
      </w:r>
      <w:r w:rsidR="00592CE1" w:rsidRPr="008E6618">
        <w:rPr>
          <w:spacing w:val="-9"/>
        </w:rPr>
        <w:t xml:space="preserve"> by providing local assistance </w:t>
      </w:r>
      <w:r w:rsidR="008E6618" w:rsidRPr="008E6618">
        <w:rPr>
          <w:spacing w:val="-9"/>
        </w:rPr>
        <w:t xml:space="preserve"> to public agencies, local agencies, nonprofit organizations, special districts, joint powers authorities, tribes, public utilities, local publicly owned utilities, or mutual water companies</w:t>
      </w:r>
      <w:r w:rsidR="00592CE1" w:rsidRPr="008E6618">
        <w:rPr>
          <w:spacing w:val="-9"/>
        </w:rPr>
        <w:t xml:space="preserve">. </w:t>
      </w:r>
    </w:p>
    <w:p w14:paraId="29C592A1" w14:textId="59F8594A" w:rsidR="00297B7F" w:rsidRDefault="00A445D1" w:rsidP="00371C2F">
      <w:pPr>
        <w:rPr>
          <w:b/>
          <w:bCs/>
        </w:rPr>
      </w:pPr>
      <w:r>
        <w:rPr>
          <w:b/>
          <w:bCs/>
        </w:rPr>
        <w:t>Non-Duplication Justification</w:t>
      </w:r>
    </w:p>
    <w:p w14:paraId="6971EABC" w14:textId="5565A5F6" w:rsidR="00A445D1" w:rsidRPr="00A445D1" w:rsidRDefault="00A445D1" w:rsidP="00371C2F">
      <w:r>
        <w:t xml:space="preserve">Some of the proposed regulations duplicate state statutes. </w:t>
      </w:r>
      <w:r w:rsidR="005D31BC">
        <w:t xml:space="preserve">Where a </w:t>
      </w:r>
      <w:r w:rsidR="009C2568">
        <w:t xml:space="preserve">state </w:t>
      </w:r>
      <w:r w:rsidR="005D31BC">
        <w:t>statute is duplicated, the duplication is necessary to satisfy the “clarity” standard of Government Code</w:t>
      </w:r>
      <w:r w:rsidR="005F084B">
        <w:t xml:space="preserve"> section 111349.1(a)(3).</w:t>
      </w:r>
      <w:r w:rsidR="00F33FDB">
        <w:t xml:space="preserve"> The duplication will benefit those affected by the regulation</w:t>
      </w:r>
      <w:r w:rsidR="00443C2D">
        <w:t xml:space="preserve">s by concentrating applicable requirements, </w:t>
      </w:r>
      <w:r w:rsidR="00702A5E">
        <w:t xml:space="preserve">such as defined terms and eligibility </w:t>
      </w:r>
      <w:r w:rsidR="000539FA">
        <w:t xml:space="preserve">requirements, in one location—specifically the proposed regulations. </w:t>
      </w:r>
    </w:p>
    <w:p w14:paraId="6DB066F4" w14:textId="70371C6B" w:rsidR="00A445D1" w:rsidRPr="00A445D1" w:rsidRDefault="00371C2F" w:rsidP="00371C2F">
      <w:pPr>
        <w:rPr>
          <w:b/>
          <w:bCs/>
        </w:rPr>
      </w:pPr>
      <w:r w:rsidRPr="00C62B8C">
        <w:t xml:space="preserve">More specifically, the proposed language of the emergency regulations will accomplish the following: </w:t>
      </w:r>
    </w:p>
    <w:p w14:paraId="79E532B6" w14:textId="4CFC5A73" w:rsidR="005A2141" w:rsidRPr="00C62B8C" w:rsidRDefault="00371C2F" w:rsidP="0046473E">
      <w:pPr>
        <w:spacing w:before="145"/>
        <w:rPr>
          <w:b/>
          <w:u w:val="single"/>
        </w:rPr>
      </w:pPr>
      <w:r w:rsidRPr="00C62B8C">
        <w:t xml:space="preserve">● </w:t>
      </w:r>
      <w:r w:rsidR="00151E17" w:rsidRPr="00C62B8C">
        <w:rPr>
          <w:b/>
          <w:bCs/>
        </w:rPr>
        <w:t xml:space="preserve">Proposed section </w:t>
      </w:r>
      <w:r w:rsidR="00592CE1" w:rsidRPr="00C62B8C">
        <w:rPr>
          <w:b/>
          <w:bCs/>
        </w:rPr>
        <w:t>1</w:t>
      </w:r>
      <w:r w:rsidR="008E6618">
        <w:rPr>
          <w:b/>
          <w:bCs/>
        </w:rPr>
        <w:t>4200</w:t>
      </w:r>
      <w:r w:rsidR="00151E17" w:rsidRPr="00C62B8C">
        <w:rPr>
          <w:b/>
          <w:bCs/>
        </w:rPr>
        <w:t xml:space="preserve">. </w:t>
      </w:r>
      <w:r w:rsidR="005A2141" w:rsidRPr="005E63D7">
        <w:rPr>
          <w:b/>
          <w:w w:val="105"/>
        </w:rPr>
        <w:t>Applicability</w:t>
      </w:r>
      <w:r w:rsidR="005A2141" w:rsidRPr="005E63D7">
        <w:rPr>
          <w:b/>
          <w:spacing w:val="6"/>
          <w:w w:val="105"/>
        </w:rPr>
        <w:t xml:space="preserve"> </w:t>
      </w:r>
      <w:r w:rsidR="005A2141" w:rsidRPr="005E63D7">
        <w:rPr>
          <w:b/>
          <w:w w:val="105"/>
        </w:rPr>
        <w:t>and</w:t>
      </w:r>
      <w:r w:rsidR="005A2141" w:rsidRPr="005E63D7">
        <w:rPr>
          <w:b/>
          <w:spacing w:val="-7"/>
          <w:w w:val="105"/>
        </w:rPr>
        <w:t xml:space="preserve"> </w:t>
      </w:r>
      <w:r w:rsidR="005A2141" w:rsidRPr="005E63D7">
        <w:rPr>
          <w:b/>
          <w:spacing w:val="-2"/>
          <w:w w:val="105"/>
        </w:rPr>
        <w:t>Scope.</w:t>
      </w:r>
    </w:p>
    <w:p w14:paraId="499A1E98" w14:textId="2BAE8377" w:rsidR="008E433B" w:rsidRPr="00C62B8C" w:rsidRDefault="00945623" w:rsidP="00371C2F">
      <w:r w:rsidRPr="00C62B8C">
        <w:t xml:space="preserve">This section identifies that only Proposition 4 grants are encompassed by the emergency regulations. </w:t>
      </w:r>
    </w:p>
    <w:p w14:paraId="528965A8" w14:textId="38CA1EF7" w:rsidR="00945623" w:rsidRPr="00C62B8C" w:rsidRDefault="00151E17" w:rsidP="0046473E">
      <w:pPr>
        <w:keepNext/>
        <w:rPr>
          <w:b/>
          <w:bCs/>
        </w:rPr>
      </w:pPr>
      <w:r w:rsidRPr="00C62B8C">
        <w:lastRenderedPageBreak/>
        <w:t>●</w:t>
      </w:r>
      <w:r w:rsidR="000C4602">
        <w:t xml:space="preserve"> </w:t>
      </w:r>
      <w:r w:rsidR="00371C2F" w:rsidRPr="00C62B8C">
        <w:rPr>
          <w:b/>
          <w:bCs/>
        </w:rPr>
        <w:t>Proposed section</w:t>
      </w:r>
      <w:r w:rsidR="0078014B" w:rsidRPr="00C62B8C">
        <w:rPr>
          <w:b/>
          <w:bCs/>
        </w:rPr>
        <w:t xml:space="preserve"> </w:t>
      </w:r>
      <w:r w:rsidR="00592CE1" w:rsidRPr="00C62B8C">
        <w:rPr>
          <w:b/>
          <w:bCs/>
        </w:rPr>
        <w:t>1</w:t>
      </w:r>
      <w:r w:rsidR="008E6618">
        <w:rPr>
          <w:b/>
          <w:bCs/>
        </w:rPr>
        <w:t>42</w:t>
      </w:r>
      <w:r w:rsidR="00592CE1" w:rsidRPr="00C62B8C">
        <w:rPr>
          <w:b/>
          <w:bCs/>
        </w:rPr>
        <w:t>01</w:t>
      </w:r>
      <w:r w:rsidR="00371C2F" w:rsidRPr="00C62B8C">
        <w:rPr>
          <w:b/>
          <w:bCs/>
        </w:rPr>
        <w:t xml:space="preserve">. </w:t>
      </w:r>
      <w:r w:rsidR="0078014B" w:rsidRPr="00C62B8C">
        <w:rPr>
          <w:b/>
          <w:bCs/>
        </w:rPr>
        <w:t>Definitions.</w:t>
      </w:r>
      <w:r w:rsidR="00371C2F" w:rsidRPr="00C62B8C">
        <w:rPr>
          <w:b/>
          <w:bCs/>
        </w:rPr>
        <w:t xml:space="preserve"> </w:t>
      </w:r>
    </w:p>
    <w:p w14:paraId="382A94E4" w14:textId="6A41C345" w:rsidR="00371C2F" w:rsidRDefault="00371C2F" w:rsidP="00371C2F">
      <w:r w:rsidRPr="00C62B8C">
        <w:t>This section</w:t>
      </w:r>
      <w:r w:rsidR="0078014B" w:rsidRPr="00C62B8C">
        <w:t xml:space="preserve"> provides definitions for those terms used in Proposition 4 and that were either defined throughout the bond, but difficult to locate.</w:t>
      </w:r>
      <w:r w:rsidR="008700C3" w:rsidRPr="00C62B8C">
        <w:t xml:space="preserve"> It is necessary to assist applicants in knowing the requirements of the bond and statutes governing the administration of the funding. </w:t>
      </w:r>
      <w:r w:rsidR="00C555BC">
        <w:t xml:space="preserve">Below are specific points regarding some of the defined terms. </w:t>
      </w:r>
    </w:p>
    <w:p w14:paraId="151F6567" w14:textId="1DE33432" w:rsidR="00D14B84" w:rsidRPr="00D14B84" w:rsidRDefault="00D14B84" w:rsidP="00A263C0">
      <w:pPr>
        <w:pStyle w:val="ListParagraph"/>
        <w:numPr>
          <w:ilvl w:val="0"/>
          <w:numId w:val="7"/>
        </w:numPr>
      </w:pPr>
      <w:r w:rsidRPr="008E6618">
        <w:t>The definition of “</w:t>
      </w:r>
      <w:r w:rsidR="003A2B72">
        <w:t>CNRA</w:t>
      </w:r>
      <w:r w:rsidRPr="008E6618">
        <w:t xml:space="preserve">” is derived from </w:t>
      </w:r>
      <w:r w:rsidR="008E6618" w:rsidRPr="008E6618">
        <w:t>Government</w:t>
      </w:r>
      <w:r w:rsidRPr="008E6618">
        <w:t xml:space="preserve"> Code Section </w:t>
      </w:r>
      <w:r w:rsidR="008E6618" w:rsidRPr="008E6618">
        <w:t>12800</w:t>
      </w:r>
      <w:r w:rsidRPr="008E6618">
        <w:t>.</w:t>
      </w:r>
    </w:p>
    <w:p w14:paraId="1BF9EB1F" w14:textId="6A3BFB45" w:rsidR="00D14B84" w:rsidRPr="00D14B84" w:rsidRDefault="00D14B84" w:rsidP="00A263C0">
      <w:pPr>
        <w:pStyle w:val="ListParagraph"/>
        <w:numPr>
          <w:ilvl w:val="0"/>
          <w:numId w:val="7"/>
        </w:numPr>
      </w:pPr>
      <w:r w:rsidRPr="00D14B84">
        <w:t xml:space="preserve">The definition of “Disadvantaged Community” is derived from Public Resources Code section 90100(d). </w:t>
      </w:r>
    </w:p>
    <w:p w14:paraId="5BBEC755" w14:textId="77777777" w:rsidR="00D14B84" w:rsidRPr="00A263C0" w:rsidRDefault="00D14B84" w:rsidP="00A263C0">
      <w:pPr>
        <w:pStyle w:val="ListParagraph"/>
        <w:numPr>
          <w:ilvl w:val="0"/>
          <w:numId w:val="7"/>
        </w:numPr>
      </w:pPr>
      <w:r w:rsidRPr="00D14B84">
        <w:t>The definition of “environmental justice” is derived from Government Code 65040.12 and Public Reso</w:t>
      </w:r>
      <w:r w:rsidRPr="00A263C0">
        <w:t>urces Code Section 72000.</w:t>
      </w:r>
    </w:p>
    <w:p w14:paraId="132FF9E4" w14:textId="41E1E322" w:rsidR="00A263C0" w:rsidRPr="00A263C0" w:rsidRDefault="00D14B84" w:rsidP="00A263C0">
      <w:pPr>
        <w:pStyle w:val="ListParagraph"/>
        <w:numPr>
          <w:ilvl w:val="0"/>
          <w:numId w:val="7"/>
        </w:numPr>
      </w:pPr>
      <w:r w:rsidRPr="00A263C0">
        <w:t>The definition of “G</w:t>
      </w:r>
      <w:r w:rsidR="00A263C0" w:rsidRPr="00A263C0">
        <w:t>ra</w:t>
      </w:r>
      <w:r w:rsidRPr="00A263C0">
        <w:t xml:space="preserve">nt” derived from </w:t>
      </w:r>
      <w:r w:rsidR="00A263C0" w:rsidRPr="00A263C0">
        <w:t xml:space="preserve">the State Contracting Manual section 4.06. </w:t>
      </w:r>
    </w:p>
    <w:p w14:paraId="7B0CF8F3" w14:textId="2AD8A0DE" w:rsidR="00A263C0" w:rsidRDefault="00A263C0" w:rsidP="00A263C0">
      <w:pPr>
        <w:pStyle w:val="ListParagraph"/>
        <w:numPr>
          <w:ilvl w:val="0"/>
          <w:numId w:val="7"/>
        </w:numPr>
      </w:pPr>
      <w:r w:rsidRPr="00A263C0">
        <w:t xml:space="preserve">The definition of </w:t>
      </w:r>
      <w:r w:rsidR="00D14B84" w:rsidRPr="00A263C0">
        <w:rPr>
          <w:spacing w:val="-14"/>
          <w:w w:val="105"/>
        </w:rPr>
        <w:t xml:space="preserve">"Grant Agreement" </w:t>
      </w:r>
      <w:r w:rsidRPr="00A263C0">
        <w:rPr>
          <w:spacing w:val="-14"/>
          <w:w w:val="105"/>
        </w:rPr>
        <w:t xml:space="preserve">is </w:t>
      </w:r>
      <w:r w:rsidRPr="00A263C0">
        <w:t xml:space="preserve">derived from the State Contracting Manual section 4.06. </w:t>
      </w:r>
    </w:p>
    <w:p w14:paraId="12B6EA88" w14:textId="77777777" w:rsidR="00A263C0" w:rsidRDefault="00A263C0" w:rsidP="00A263C0">
      <w:pPr>
        <w:pStyle w:val="ListParagraph"/>
        <w:numPr>
          <w:ilvl w:val="0"/>
          <w:numId w:val="7"/>
        </w:numPr>
      </w:pPr>
      <w:r>
        <w:t xml:space="preserve">The definition of “Grantee” is derived from the State Contracting Manual section 4.06. </w:t>
      </w:r>
    </w:p>
    <w:p w14:paraId="4AFC4974" w14:textId="77777777" w:rsidR="00A263C0" w:rsidRDefault="00A263C0" w:rsidP="00A263C0">
      <w:pPr>
        <w:pStyle w:val="ListParagraph"/>
        <w:numPr>
          <w:ilvl w:val="0"/>
          <w:numId w:val="7"/>
        </w:numPr>
      </w:pPr>
      <w:r>
        <w:t xml:space="preserve">The definition of </w:t>
      </w:r>
      <w:r w:rsidR="00D14B84" w:rsidRPr="00A263C0">
        <w:rPr>
          <w:spacing w:val="-14"/>
          <w:w w:val="105"/>
        </w:rPr>
        <w:t xml:space="preserve">"Joint Powers Authority" </w:t>
      </w:r>
      <w:r w:rsidRPr="00A263C0">
        <w:rPr>
          <w:spacing w:val="-14"/>
          <w:w w:val="105"/>
        </w:rPr>
        <w:t>is derived from</w:t>
      </w:r>
      <w:r w:rsidR="00D14B84" w:rsidRPr="00A263C0">
        <w:rPr>
          <w:spacing w:val="-14"/>
          <w:w w:val="105"/>
        </w:rPr>
        <w:t xml:space="preserve"> Chapter 5 (commencing with Section 6500) of Division 7 of Title 1 of the Government Code.</w:t>
      </w:r>
    </w:p>
    <w:p w14:paraId="4EF4F691" w14:textId="6C42516C" w:rsidR="00D14B84" w:rsidRPr="00A263C0" w:rsidRDefault="00A263C0" w:rsidP="00A263C0">
      <w:pPr>
        <w:pStyle w:val="ListParagraph"/>
        <w:numPr>
          <w:ilvl w:val="0"/>
          <w:numId w:val="7"/>
        </w:numPr>
      </w:pPr>
      <w:r>
        <w:t xml:space="preserve">The definition </w:t>
      </w:r>
      <w:r w:rsidRPr="00A263C0">
        <w:t xml:space="preserve">of </w:t>
      </w:r>
      <w:r w:rsidR="00D14B84" w:rsidRPr="00A263C0">
        <w:rPr>
          <w:spacing w:val="-14"/>
          <w:w w:val="105"/>
        </w:rPr>
        <w:t xml:space="preserve">"Nonprofit Organization" </w:t>
      </w:r>
      <w:r w:rsidRPr="00A263C0">
        <w:rPr>
          <w:spacing w:val="-14"/>
          <w:w w:val="105"/>
        </w:rPr>
        <w:t>is derived from</w:t>
      </w:r>
      <w:r w:rsidR="00D14B84" w:rsidRPr="00A263C0">
        <w:rPr>
          <w:spacing w:val="-14"/>
          <w:w w:val="105"/>
        </w:rPr>
        <w:t xml:space="preserve"> Public Resources Code section 90100. </w:t>
      </w:r>
    </w:p>
    <w:p w14:paraId="26A3F3B7" w14:textId="485384A5" w:rsidR="00D14B84" w:rsidRPr="00A505D7" w:rsidRDefault="00A263C0" w:rsidP="00A263C0">
      <w:pPr>
        <w:pStyle w:val="ListParagraph"/>
        <w:widowControl w:val="0"/>
        <w:numPr>
          <w:ilvl w:val="0"/>
          <w:numId w:val="7"/>
        </w:numPr>
        <w:tabs>
          <w:tab w:val="left" w:pos="359"/>
        </w:tabs>
        <w:autoSpaceDE w:val="0"/>
        <w:autoSpaceDN w:val="0"/>
        <w:spacing w:before="146" w:after="0" w:line="379" w:lineRule="auto"/>
        <w:ind w:right="141"/>
        <w:rPr>
          <w:spacing w:val="-14"/>
          <w:w w:val="105"/>
        </w:rPr>
      </w:pPr>
      <w:r w:rsidRPr="00A505D7">
        <w:rPr>
          <w:spacing w:val="-14"/>
          <w:w w:val="105"/>
        </w:rPr>
        <w:t xml:space="preserve">The definition of </w:t>
      </w:r>
      <w:r w:rsidR="00D14B84" w:rsidRPr="00A505D7">
        <w:rPr>
          <w:spacing w:val="-14"/>
          <w:w w:val="105"/>
        </w:rPr>
        <w:t xml:space="preserve">"Secretary" </w:t>
      </w:r>
      <w:r w:rsidRPr="00A505D7">
        <w:rPr>
          <w:spacing w:val="-14"/>
          <w:w w:val="105"/>
        </w:rPr>
        <w:t>is derived from</w:t>
      </w:r>
      <w:r w:rsidR="00D14B84" w:rsidRPr="00A505D7">
        <w:rPr>
          <w:spacing w:val="-14"/>
          <w:w w:val="105"/>
        </w:rPr>
        <w:t xml:space="preserve"> </w:t>
      </w:r>
      <w:r w:rsidR="00A505D7" w:rsidRPr="00A505D7">
        <w:rPr>
          <w:spacing w:val="-14"/>
          <w:w w:val="105"/>
        </w:rPr>
        <w:t xml:space="preserve">Government </w:t>
      </w:r>
      <w:r w:rsidR="00D14B84" w:rsidRPr="00A505D7">
        <w:rPr>
          <w:spacing w:val="-14"/>
          <w:w w:val="105"/>
        </w:rPr>
        <w:t>Code section</w:t>
      </w:r>
      <w:r w:rsidR="00A505D7" w:rsidRPr="00A505D7">
        <w:rPr>
          <w:spacing w:val="-14"/>
          <w:w w:val="105"/>
        </w:rPr>
        <w:t>s</w:t>
      </w:r>
      <w:r w:rsidR="00D14B84" w:rsidRPr="00A505D7">
        <w:rPr>
          <w:spacing w:val="-14"/>
          <w:w w:val="105"/>
        </w:rPr>
        <w:t xml:space="preserve"> </w:t>
      </w:r>
      <w:r w:rsidR="00A505D7" w:rsidRPr="00A505D7">
        <w:rPr>
          <w:spacing w:val="-14"/>
          <w:w w:val="105"/>
        </w:rPr>
        <w:t>21800 and 12802</w:t>
      </w:r>
      <w:r w:rsidR="00D14B84" w:rsidRPr="00A505D7">
        <w:rPr>
          <w:spacing w:val="-14"/>
          <w:w w:val="105"/>
        </w:rPr>
        <w:t>.</w:t>
      </w:r>
    </w:p>
    <w:p w14:paraId="1DF4DCA5" w14:textId="15DC97D0" w:rsidR="00A263C0" w:rsidRPr="00A263C0" w:rsidRDefault="00A263C0" w:rsidP="00A263C0">
      <w:pPr>
        <w:pStyle w:val="ListParagraph"/>
        <w:widowControl w:val="0"/>
        <w:numPr>
          <w:ilvl w:val="0"/>
          <w:numId w:val="7"/>
        </w:numPr>
        <w:tabs>
          <w:tab w:val="left" w:pos="359"/>
        </w:tabs>
        <w:autoSpaceDE w:val="0"/>
        <w:autoSpaceDN w:val="0"/>
        <w:spacing w:before="146" w:after="0" w:line="379" w:lineRule="auto"/>
        <w:ind w:right="141"/>
        <w:rPr>
          <w:spacing w:val="-14"/>
          <w:w w:val="105"/>
          <w:u w:val="single"/>
        </w:rPr>
      </w:pPr>
      <w:r w:rsidRPr="00A263C0">
        <w:rPr>
          <w:spacing w:val="-14"/>
          <w:w w:val="105"/>
        </w:rPr>
        <w:t xml:space="preserve">The definition of </w:t>
      </w:r>
      <w:r w:rsidR="00D14B84" w:rsidRPr="00A263C0">
        <w:rPr>
          <w:spacing w:val="-14"/>
          <w:w w:val="105"/>
        </w:rPr>
        <w:t xml:space="preserve">“Severely Disadvantaged Community” </w:t>
      </w:r>
      <w:r w:rsidRPr="00A263C0">
        <w:rPr>
          <w:spacing w:val="-14"/>
          <w:w w:val="105"/>
        </w:rPr>
        <w:t xml:space="preserve">is derived from </w:t>
      </w:r>
      <w:r w:rsidR="00D14B84" w:rsidRPr="00A263C0">
        <w:rPr>
          <w:spacing w:val="-14"/>
          <w:w w:val="105"/>
        </w:rPr>
        <w:t>Public Resources Code section 90100.</w:t>
      </w:r>
    </w:p>
    <w:p w14:paraId="1F7C08C4" w14:textId="38E48806" w:rsidR="00D14B84" w:rsidRPr="00A263C0" w:rsidRDefault="00A263C0" w:rsidP="00A263C0">
      <w:pPr>
        <w:pStyle w:val="ListParagraph"/>
        <w:widowControl w:val="0"/>
        <w:numPr>
          <w:ilvl w:val="0"/>
          <w:numId w:val="7"/>
        </w:numPr>
        <w:tabs>
          <w:tab w:val="left" w:pos="359"/>
        </w:tabs>
        <w:autoSpaceDE w:val="0"/>
        <w:autoSpaceDN w:val="0"/>
        <w:spacing w:before="146" w:after="0" w:line="379" w:lineRule="auto"/>
        <w:ind w:right="141"/>
        <w:rPr>
          <w:spacing w:val="-14"/>
          <w:w w:val="105"/>
        </w:rPr>
      </w:pPr>
      <w:r w:rsidRPr="00A263C0">
        <w:rPr>
          <w:spacing w:val="-14"/>
          <w:w w:val="105"/>
        </w:rPr>
        <w:t xml:space="preserve">The definition of </w:t>
      </w:r>
      <w:r w:rsidR="00D14B84" w:rsidRPr="00A263C0">
        <w:rPr>
          <w:spacing w:val="-14"/>
          <w:w w:val="105"/>
        </w:rPr>
        <w:t xml:space="preserve">"Tribe" </w:t>
      </w:r>
      <w:r w:rsidRPr="00A263C0">
        <w:rPr>
          <w:spacing w:val="-14"/>
          <w:w w:val="105"/>
        </w:rPr>
        <w:t xml:space="preserve">is derived from </w:t>
      </w:r>
      <w:r w:rsidR="00D14B84" w:rsidRPr="00A263C0">
        <w:rPr>
          <w:spacing w:val="-14"/>
          <w:w w:val="105"/>
        </w:rPr>
        <w:t>Public Resources Code section 90100.</w:t>
      </w:r>
    </w:p>
    <w:p w14:paraId="3BF252C4" w14:textId="3235E812" w:rsidR="009F4FF2" w:rsidRPr="00943EA4" w:rsidRDefault="00A263C0" w:rsidP="00371C2F">
      <w:pPr>
        <w:pStyle w:val="ListParagraph"/>
        <w:widowControl w:val="0"/>
        <w:numPr>
          <w:ilvl w:val="0"/>
          <w:numId w:val="7"/>
        </w:numPr>
        <w:tabs>
          <w:tab w:val="left" w:pos="359"/>
        </w:tabs>
        <w:autoSpaceDE w:val="0"/>
        <w:autoSpaceDN w:val="0"/>
        <w:spacing w:before="146" w:after="0" w:line="379" w:lineRule="auto"/>
        <w:ind w:right="141"/>
        <w:rPr>
          <w:spacing w:val="-14"/>
          <w:w w:val="105"/>
        </w:rPr>
      </w:pPr>
      <w:r w:rsidRPr="00A263C0">
        <w:rPr>
          <w:spacing w:val="-14"/>
          <w:w w:val="105"/>
        </w:rPr>
        <w:t xml:space="preserve">The definition of </w:t>
      </w:r>
      <w:r w:rsidR="00D14B84" w:rsidRPr="00A263C0">
        <w:rPr>
          <w:spacing w:val="-14"/>
          <w:w w:val="105"/>
        </w:rPr>
        <w:t xml:space="preserve">“Vulnerable Population” </w:t>
      </w:r>
      <w:r w:rsidRPr="00A263C0">
        <w:rPr>
          <w:spacing w:val="-14"/>
          <w:w w:val="105"/>
        </w:rPr>
        <w:t>is derived from</w:t>
      </w:r>
      <w:r w:rsidR="00D14B84" w:rsidRPr="00A263C0">
        <w:rPr>
          <w:spacing w:val="-14"/>
          <w:w w:val="105"/>
        </w:rPr>
        <w:t xml:space="preserve"> Public Resources Code section 90100.</w:t>
      </w:r>
    </w:p>
    <w:p w14:paraId="380598A5" w14:textId="1B5B673C" w:rsidR="00945623" w:rsidRPr="00C62B8C" w:rsidRDefault="008B26D9" w:rsidP="00371C2F">
      <w:pPr>
        <w:rPr>
          <w:b/>
          <w:bCs/>
        </w:rPr>
      </w:pPr>
      <w:r w:rsidRPr="00C62B8C">
        <w:t xml:space="preserve">● </w:t>
      </w:r>
      <w:r w:rsidRPr="00C62B8C">
        <w:rPr>
          <w:b/>
          <w:bCs/>
        </w:rPr>
        <w:t xml:space="preserve">Proposed Section </w:t>
      </w:r>
      <w:r w:rsidR="00592CE1" w:rsidRPr="00C62B8C">
        <w:rPr>
          <w:b/>
          <w:bCs/>
        </w:rPr>
        <w:t>1</w:t>
      </w:r>
      <w:r w:rsidR="00A505D7">
        <w:rPr>
          <w:b/>
          <w:bCs/>
        </w:rPr>
        <w:t>42</w:t>
      </w:r>
      <w:r w:rsidR="00592CE1" w:rsidRPr="00C62B8C">
        <w:rPr>
          <w:b/>
          <w:bCs/>
        </w:rPr>
        <w:t>02</w:t>
      </w:r>
      <w:r w:rsidRPr="00C62B8C">
        <w:rPr>
          <w:b/>
          <w:bCs/>
        </w:rPr>
        <w:t>. Applicant Eligibility.</w:t>
      </w:r>
    </w:p>
    <w:p w14:paraId="669AFF14" w14:textId="74262D5D" w:rsidR="008B26D9" w:rsidRPr="00C62B8C" w:rsidRDefault="00945623" w:rsidP="00371C2F">
      <w:r w:rsidRPr="00C62B8C">
        <w:t>This section identifies the statutory requirements for applicant eligibility</w:t>
      </w:r>
      <w:r w:rsidR="000033CD">
        <w:t xml:space="preserve"> and is derived from Public Resources Code section 90110</w:t>
      </w:r>
      <w:r w:rsidRPr="00C62B8C">
        <w:t xml:space="preserve">. </w:t>
      </w:r>
      <w:r w:rsidR="008B26D9" w:rsidRPr="00C62B8C">
        <w:rPr>
          <w:b/>
          <w:bCs/>
        </w:rPr>
        <w:t xml:space="preserve"> </w:t>
      </w:r>
      <w:r w:rsidR="00837B14" w:rsidRPr="00C62B8C">
        <w:t>It is necessary to assist potential applicants with understanding the statutory limitations</w:t>
      </w:r>
      <w:r w:rsidR="00C20864" w:rsidRPr="00C62B8C">
        <w:t xml:space="preserve"> relative to which entities are able to apply.</w:t>
      </w:r>
    </w:p>
    <w:p w14:paraId="79DB5CFE" w14:textId="4BC1F40A" w:rsidR="00592CE1" w:rsidRPr="00220E16" w:rsidRDefault="00592CE1" w:rsidP="00592CE1">
      <w:pPr>
        <w:rPr>
          <w:highlight w:val="yellow"/>
        </w:rPr>
      </w:pPr>
      <w:r w:rsidRPr="00A505D7">
        <w:t xml:space="preserve">● </w:t>
      </w:r>
      <w:r w:rsidRPr="00A505D7">
        <w:rPr>
          <w:b/>
          <w:bCs/>
        </w:rPr>
        <w:t xml:space="preserve">Proposed section </w:t>
      </w:r>
      <w:r w:rsidR="00A505D7">
        <w:rPr>
          <w:b/>
          <w:bCs/>
        </w:rPr>
        <w:t>142</w:t>
      </w:r>
      <w:r w:rsidR="005205C8" w:rsidRPr="00A505D7">
        <w:rPr>
          <w:b/>
          <w:bCs/>
        </w:rPr>
        <w:t>03</w:t>
      </w:r>
      <w:r w:rsidRPr="00A505D7">
        <w:rPr>
          <w:b/>
          <w:bCs/>
        </w:rPr>
        <w:t xml:space="preserve">. Project Eligibility. </w:t>
      </w:r>
      <w:r w:rsidRPr="00220E16">
        <w:rPr>
          <w:highlight w:val="yellow"/>
        </w:rPr>
        <w:t xml:space="preserve"> </w:t>
      </w:r>
    </w:p>
    <w:p w14:paraId="613BCA79" w14:textId="72D6773F" w:rsidR="00592CE1" w:rsidRPr="00C62B8C" w:rsidRDefault="00592CE1" w:rsidP="00371C2F">
      <w:r w:rsidRPr="00A505D7">
        <w:t xml:space="preserve">This section identifies what projects may be funded with Prop 4 dollars by </w:t>
      </w:r>
      <w:r w:rsidR="003A2B72">
        <w:t>CNRA</w:t>
      </w:r>
      <w:r w:rsidR="00A505D7" w:rsidRPr="00A505D7">
        <w:t xml:space="preserve"> </w:t>
      </w:r>
      <w:r w:rsidR="009669A6" w:rsidRPr="00A505D7">
        <w:t>and are based on the permissible use of funding in Public Resources Code section 92</w:t>
      </w:r>
      <w:r w:rsidR="00A505D7" w:rsidRPr="00A505D7">
        <w:t>530</w:t>
      </w:r>
      <w:r w:rsidR="009669A6" w:rsidRPr="00A505D7">
        <w:t>.</w:t>
      </w:r>
    </w:p>
    <w:p w14:paraId="3794CF2C" w14:textId="554B1216" w:rsidR="00AC7A09" w:rsidRPr="00C62B8C" w:rsidRDefault="00371C2F" w:rsidP="00371C2F">
      <w:r w:rsidRPr="00C62B8C">
        <w:lastRenderedPageBreak/>
        <w:t xml:space="preserve">● </w:t>
      </w:r>
      <w:r w:rsidRPr="00C62B8C">
        <w:rPr>
          <w:b/>
          <w:bCs/>
        </w:rPr>
        <w:t xml:space="preserve">Proposed section </w:t>
      </w:r>
      <w:r w:rsidR="005205C8" w:rsidRPr="00C62B8C">
        <w:rPr>
          <w:b/>
          <w:bCs/>
        </w:rPr>
        <w:t>1</w:t>
      </w:r>
      <w:r w:rsidR="00A505D7">
        <w:rPr>
          <w:b/>
          <w:bCs/>
        </w:rPr>
        <w:t>42</w:t>
      </w:r>
      <w:r w:rsidR="005205C8" w:rsidRPr="00C62B8C">
        <w:rPr>
          <w:b/>
          <w:bCs/>
        </w:rPr>
        <w:t>04</w:t>
      </w:r>
      <w:r w:rsidRPr="00C62B8C">
        <w:rPr>
          <w:b/>
          <w:bCs/>
        </w:rPr>
        <w:t xml:space="preserve">. </w:t>
      </w:r>
      <w:r w:rsidR="00B41888">
        <w:rPr>
          <w:b/>
          <w:w w:val="105"/>
        </w:rPr>
        <w:t xml:space="preserve">Concept Proposals </w:t>
      </w:r>
      <w:r w:rsidR="00AC7A09" w:rsidRPr="00C62B8C">
        <w:rPr>
          <w:b/>
          <w:w w:val="105"/>
        </w:rPr>
        <w:t xml:space="preserve">and Request for </w:t>
      </w:r>
      <w:r w:rsidR="00B41888">
        <w:rPr>
          <w:b/>
          <w:w w:val="105"/>
        </w:rPr>
        <w:t xml:space="preserve">Full </w:t>
      </w:r>
      <w:r w:rsidR="00AC7A09" w:rsidRPr="00C62B8C">
        <w:rPr>
          <w:b/>
          <w:w w:val="105"/>
        </w:rPr>
        <w:t>Proposals</w:t>
      </w:r>
      <w:r w:rsidR="00AC7A09" w:rsidRPr="00C62B8C">
        <w:t xml:space="preserve">. </w:t>
      </w:r>
    </w:p>
    <w:p w14:paraId="403EB298" w14:textId="0D841F67" w:rsidR="00371C2F" w:rsidRDefault="00371C2F" w:rsidP="00371C2F">
      <w:r w:rsidRPr="00C62B8C">
        <w:t xml:space="preserve">This section specifies </w:t>
      </w:r>
      <w:r w:rsidR="00945623" w:rsidRPr="00C62B8C">
        <w:t xml:space="preserve">that </w:t>
      </w:r>
      <w:r w:rsidR="003A2B72">
        <w:t>CNRA</w:t>
      </w:r>
      <w:r w:rsidR="00A505D7">
        <w:t xml:space="preserve"> </w:t>
      </w:r>
      <w:r w:rsidR="00945623" w:rsidRPr="00C62B8C">
        <w:t xml:space="preserve">will ask for short </w:t>
      </w:r>
      <w:r w:rsidR="00A505D7">
        <w:t xml:space="preserve">Concept Proposals </w:t>
      </w:r>
      <w:r w:rsidR="00945623" w:rsidRPr="00C62B8C">
        <w:t xml:space="preserve">so that it can provide an administrative review for </w:t>
      </w:r>
      <w:r w:rsidR="00EF7C7A" w:rsidRPr="00C62B8C">
        <w:t xml:space="preserve">project and applicant </w:t>
      </w:r>
      <w:r w:rsidR="00945623" w:rsidRPr="00C62B8C">
        <w:t>eligibility</w:t>
      </w:r>
      <w:r w:rsidR="00EF7C7A" w:rsidRPr="00C62B8C">
        <w:t xml:space="preserve"> before it requests</w:t>
      </w:r>
      <w:r w:rsidR="00945623" w:rsidRPr="00C62B8C">
        <w:t xml:space="preserve"> longer, more expensive requests for proposals. </w:t>
      </w:r>
      <w:r w:rsidR="008700C3" w:rsidRPr="00C62B8C">
        <w:t xml:space="preserve"> </w:t>
      </w:r>
      <w:r w:rsidR="00D41DC6" w:rsidRPr="00C62B8C">
        <w:t xml:space="preserve">It is necessary to help applicants avoid the cost and administrative burden of submitting full applications on projects that may not be eligible for available funding. </w:t>
      </w:r>
      <w:r w:rsidR="00A505D7">
        <w:t xml:space="preserve">Concept Proposals </w:t>
      </w:r>
      <w:r w:rsidR="005205C8" w:rsidRPr="00C62B8C">
        <w:t xml:space="preserve">will undergo an administrative review to determine whether the applicant and project eligibility requirements are met to </w:t>
      </w:r>
      <w:r w:rsidR="00C20864" w:rsidRPr="00C62B8C">
        <w:t xml:space="preserve">ensure that applicants or projects that are not legally eligible do not waste time applying on full submittals. </w:t>
      </w:r>
    </w:p>
    <w:p w14:paraId="18D2569F" w14:textId="6B0728DE" w:rsidR="00B85FD5" w:rsidRPr="00C62B8C" w:rsidRDefault="00B85FD5" w:rsidP="00371C2F">
      <w:r>
        <w:t xml:space="preserve">The phrase “at a minimum” in the provision permits applicants to supplement their materials with additional </w:t>
      </w:r>
      <w:r w:rsidR="00D97071">
        <w:t>information beyond what is required in subsections (1)-(1</w:t>
      </w:r>
      <w:r w:rsidR="00F935F7">
        <w:t>0</w:t>
      </w:r>
      <w:r w:rsidR="00D97071">
        <w:t xml:space="preserve">) </w:t>
      </w:r>
      <w:r w:rsidR="004372C5">
        <w:t>in</w:t>
      </w:r>
      <w:r w:rsidR="00D97071">
        <w:t xml:space="preserve"> subsection (a). </w:t>
      </w:r>
      <w:r w:rsidR="0006525A">
        <w:t xml:space="preserve">The minimum information required is necessary to allow </w:t>
      </w:r>
      <w:r w:rsidR="003A2B72">
        <w:t>CNRA</w:t>
      </w:r>
      <w:r w:rsidR="0006525A">
        <w:t xml:space="preserve"> to ascertain applicant and project eligibility</w:t>
      </w:r>
      <w:r w:rsidR="00F3206C">
        <w:t xml:space="preserve">, communicate with the applicant, and gain essential information about each applicant and the proposed project. </w:t>
      </w:r>
    </w:p>
    <w:p w14:paraId="2A64A122" w14:textId="5DEF14D1" w:rsidR="005F0949" w:rsidRPr="00C62B8C" w:rsidRDefault="00371C2F" w:rsidP="00371C2F">
      <w:pPr>
        <w:rPr>
          <w:b/>
          <w:spacing w:val="-2"/>
          <w:w w:val="105"/>
          <w:u w:val="single"/>
        </w:rPr>
      </w:pPr>
      <w:r w:rsidRPr="00C62B8C">
        <w:t xml:space="preserve">● </w:t>
      </w:r>
      <w:r w:rsidRPr="00C62B8C">
        <w:rPr>
          <w:b/>
          <w:bCs/>
        </w:rPr>
        <w:t xml:space="preserve">Proposed section </w:t>
      </w:r>
      <w:r w:rsidR="005205C8" w:rsidRPr="00C62B8C">
        <w:rPr>
          <w:b/>
          <w:bCs/>
        </w:rPr>
        <w:t>1</w:t>
      </w:r>
      <w:r w:rsidR="00B41888">
        <w:rPr>
          <w:b/>
          <w:bCs/>
        </w:rPr>
        <w:t>42</w:t>
      </w:r>
      <w:r w:rsidR="005205C8" w:rsidRPr="00C62B8C">
        <w:rPr>
          <w:b/>
          <w:bCs/>
        </w:rPr>
        <w:t>05</w:t>
      </w:r>
      <w:r w:rsidRPr="00C62B8C">
        <w:rPr>
          <w:b/>
          <w:bCs/>
        </w:rPr>
        <w:t xml:space="preserve">. </w:t>
      </w:r>
      <w:r w:rsidR="005F0949" w:rsidRPr="00C62B8C">
        <w:rPr>
          <w:b/>
          <w:w w:val="105"/>
        </w:rPr>
        <w:t>Applications and Proposals</w:t>
      </w:r>
      <w:r w:rsidR="005F0949" w:rsidRPr="00C62B8C">
        <w:rPr>
          <w:b/>
          <w:spacing w:val="-2"/>
          <w:w w:val="105"/>
          <w:u w:val="single"/>
        </w:rPr>
        <w:t xml:space="preserve">. </w:t>
      </w:r>
    </w:p>
    <w:p w14:paraId="7FF33749" w14:textId="0168C276" w:rsidR="0078014B" w:rsidRPr="00C62B8C" w:rsidRDefault="00371C2F" w:rsidP="00EF7C7A">
      <w:r w:rsidRPr="00C62B8C">
        <w:t xml:space="preserve">This section specifies </w:t>
      </w:r>
      <w:r w:rsidR="0078014B" w:rsidRPr="00C62B8C">
        <w:t xml:space="preserve">how </w:t>
      </w:r>
      <w:r w:rsidR="003A2B72">
        <w:t>CNRA</w:t>
      </w:r>
      <w:r w:rsidR="00B41888">
        <w:t xml:space="preserve"> </w:t>
      </w:r>
      <w:r w:rsidR="0078014B" w:rsidRPr="00C62B8C">
        <w:t xml:space="preserve">will accept applications </w:t>
      </w:r>
      <w:r w:rsidR="00EF7C7A" w:rsidRPr="00C62B8C">
        <w:t>and the minimum information it will need in each proposal</w:t>
      </w:r>
      <w:r w:rsidR="006968A1" w:rsidRPr="00C62B8C">
        <w:t xml:space="preserve"> to be able to evaluate </w:t>
      </w:r>
      <w:r w:rsidR="00C20864" w:rsidRPr="00C62B8C">
        <w:t xml:space="preserve">an application. </w:t>
      </w:r>
      <w:r w:rsidR="00F27A8C">
        <w:t xml:space="preserve">The </w:t>
      </w:r>
      <w:r w:rsidR="00131503">
        <w:t>phrase</w:t>
      </w:r>
      <w:r w:rsidR="00F27A8C">
        <w:t xml:space="preserve"> “at a minimum” in this section permits an applicant to supplement their proposal with additional information beyond what is required</w:t>
      </w:r>
      <w:r w:rsidR="00131503">
        <w:t xml:space="preserve"> in paragraphs (1)-(12) of subdivision (a). </w:t>
      </w:r>
    </w:p>
    <w:p w14:paraId="4673D3B0" w14:textId="1DF2898B" w:rsidR="00371C2F" w:rsidRPr="00C62B8C" w:rsidRDefault="008700C3" w:rsidP="00371C2F">
      <w:r w:rsidRPr="00C62B8C">
        <w:t xml:space="preserve">It is necessary to assist applicants </w:t>
      </w:r>
      <w:r w:rsidR="006968A1" w:rsidRPr="00C62B8C">
        <w:t xml:space="preserve">to identify those universal information requirements </w:t>
      </w:r>
      <w:r w:rsidR="003A2B72">
        <w:t>CNRA</w:t>
      </w:r>
      <w:r w:rsidR="00B41888">
        <w:t xml:space="preserve"> </w:t>
      </w:r>
      <w:r w:rsidR="00C20864" w:rsidRPr="00C62B8C">
        <w:t>and its staff</w:t>
      </w:r>
      <w:r w:rsidR="006968A1" w:rsidRPr="00C62B8C">
        <w:t xml:space="preserve"> need to</w:t>
      </w:r>
      <w:r w:rsidRPr="00C62B8C">
        <w:t xml:space="preserve"> administer the program</w:t>
      </w:r>
      <w:r w:rsidR="006968A1" w:rsidRPr="00C62B8C">
        <w:t xml:space="preserve"> effectively, and consistently with the </w:t>
      </w:r>
      <w:r w:rsidR="00C20864" w:rsidRPr="00C62B8C">
        <w:t xml:space="preserve">statutory requirements. </w:t>
      </w:r>
      <w:r w:rsidR="0025288F">
        <w:t xml:space="preserve">The information required in subsections (1)-(12) of subsection (a) is necessary </w:t>
      </w:r>
      <w:r w:rsidR="008E18CE">
        <w:t xml:space="preserve">for </w:t>
      </w:r>
      <w:r w:rsidR="003A2B72">
        <w:t>CNRA</w:t>
      </w:r>
      <w:r w:rsidR="008E18CE">
        <w:t xml:space="preserve"> to evaluate each proposal, communicate with the applicant, and gain </w:t>
      </w:r>
      <w:r w:rsidR="00177796">
        <w:t>additional</w:t>
      </w:r>
      <w:r w:rsidR="008E18CE">
        <w:t xml:space="preserve"> information about each applicant and proposed project </w:t>
      </w:r>
      <w:r w:rsidR="00177796">
        <w:t xml:space="preserve">beyond the basic information in </w:t>
      </w:r>
      <w:r w:rsidR="00B41888">
        <w:t>142</w:t>
      </w:r>
      <w:r w:rsidR="00177796">
        <w:t xml:space="preserve">04(a).  This information is essential </w:t>
      </w:r>
      <w:r w:rsidR="0018031F">
        <w:t xml:space="preserve">to the review committee’s </w:t>
      </w:r>
      <w:r w:rsidR="00C32C8F">
        <w:t>evaluation</w:t>
      </w:r>
      <w:r w:rsidR="0018031F">
        <w:t xml:space="preserve"> of each proposal pursuant to </w:t>
      </w:r>
      <w:r w:rsidR="00B41888">
        <w:t>142</w:t>
      </w:r>
      <w:r w:rsidR="0018031F">
        <w:t xml:space="preserve">06(b). </w:t>
      </w:r>
    </w:p>
    <w:p w14:paraId="53BD7416" w14:textId="1DAB8F9F" w:rsidR="0018031F" w:rsidRDefault="00371C2F" w:rsidP="00FC696F">
      <w:pPr>
        <w:spacing w:after="0" w:line="240" w:lineRule="auto"/>
        <w:contextualSpacing/>
        <w:rPr>
          <w:b/>
          <w:bCs/>
        </w:rPr>
      </w:pPr>
      <w:r w:rsidRPr="00C62B8C">
        <w:t xml:space="preserve">● </w:t>
      </w:r>
      <w:r w:rsidRPr="00C62B8C">
        <w:rPr>
          <w:b/>
          <w:bCs/>
        </w:rPr>
        <w:t xml:space="preserve">Proposed section </w:t>
      </w:r>
      <w:r w:rsidR="005205C8" w:rsidRPr="00C62B8C">
        <w:rPr>
          <w:b/>
          <w:bCs/>
        </w:rPr>
        <w:t>1</w:t>
      </w:r>
      <w:r w:rsidR="00B41888">
        <w:rPr>
          <w:b/>
          <w:bCs/>
        </w:rPr>
        <w:t>42</w:t>
      </w:r>
      <w:r w:rsidR="005205C8" w:rsidRPr="00C62B8C">
        <w:rPr>
          <w:b/>
          <w:bCs/>
        </w:rPr>
        <w:t>06</w:t>
      </w:r>
      <w:r w:rsidR="005A67D3" w:rsidRPr="00C62B8C">
        <w:rPr>
          <w:b/>
          <w:bCs/>
        </w:rPr>
        <w:t xml:space="preserve">. </w:t>
      </w:r>
      <w:r w:rsidR="005A67D3" w:rsidRPr="00FC696F">
        <w:rPr>
          <w:rFonts w:eastAsia="Times New Roman" w:cs="Times New Roman"/>
          <w:b/>
          <w:bCs/>
          <w:w w:val="105"/>
        </w:rPr>
        <w:t>Evaluation of Proposal</w:t>
      </w:r>
      <w:r w:rsidR="005A67D3" w:rsidRPr="0018031F">
        <w:rPr>
          <w:rFonts w:eastAsia="Times New Roman" w:cs="Times New Roman"/>
          <w:b/>
          <w:bCs/>
          <w:w w:val="105"/>
        </w:rPr>
        <w:t>s.</w:t>
      </w:r>
      <w:r w:rsidRPr="00C62B8C">
        <w:rPr>
          <w:b/>
          <w:bCs/>
        </w:rPr>
        <w:t xml:space="preserve"> </w:t>
      </w:r>
    </w:p>
    <w:p w14:paraId="4576B12C" w14:textId="77777777" w:rsidR="00B41888" w:rsidRDefault="00B41888" w:rsidP="00FC696F">
      <w:pPr>
        <w:spacing w:after="0" w:line="240" w:lineRule="auto"/>
        <w:contextualSpacing/>
        <w:rPr>
          <w:b/>
          <w:bCs/>
        </w:rPr>
      </w:pPr>
    </w:p>
    <w:p w14:paraId="48D6F822" w14:textId="3D2E8956" w:rsidR="00BF7688" w:rsidRDefault="007D0D03" w:rsidP="00FC696F">
      <w:pPr>
        <w:spacing w:after="0" w:line="240" w:lineRule="auto"/>
        <w:contextualSpacing/>
      </w:pPr>
      <w:r w:rsidRPr="007D0D03">
        <w:t>Pursuant</w:t>
      </w:r>
      <w:r w:rsidR="0018031F" w:rsidRPr="007D0D03">
        <w:t xml:space="preserve"> to subjection (a) </w:t>
      </w:r>
      <w:r w:rsidR="00741DB3" w:rsidRPr="007D0D03">
        <w:t xml:space="preserve">all proposals shall be reviewed by a review committee of state staff </w:t>
      </w:r>
      <w:r w:rsidRPr="007D0D03">
        <w:t>applicable</w:t>
      </w:r>
      <w:r w:rsidR="00741DB3" w:rsidRPr="007D0D03">
        <w:t xml:space="preserve"> to various grant applications that may be </w:t>
      </w:r>
      <w:r w:rsidRPr="007D0D03">
        <w:t>received.</w:t>
      </w:r>
      <w:r>
        <w:t xml:space="preserve"> The state staff chosen will be based on the nature </w:t>
      </w:r>
      <w:r w:rsidR="00EA3565">
        <w:t xml:space="preserve">of future funding available, and </w:t>
      </w:r>
      <w:r w:rsidR="003A2B72">
        <w:t>CNRA</w:t>
      </w:r>
      <w:r w:rsidR="00B41888">
        <w:t xml:space="preserve">’s </w:t>
      </w:r>
      <w:r w:rsidR="00EA3565">
        <w:t xml:space="preserve">priorities. </w:t>
      </w:r>
      <w:r w:rsidR="002C7D65">
        <w:t>If state staff with relevant experience are unavailable to participate pursuant to section (</w:t>
      </w:r>
      <w:r w:rsidR="00C6737E">
        <w:t>a</w:t>
      </w:r>
      <w:r w:rsidR="002C7D65">
        <w:t>)(</w:t>
      </w:r>
      <w:r w:rsidR="00C6737E">
        <w:t>1</w:t>
      </w:r>
      <w:r w:rsidR="002C7D65">
        <w:t xml:space="preserve">), the Council may invite </w:t>
      </w:r>
      <w:r w:rsidR="00D35862">
        <w:t xml:space="preserve">non-state staff experts to participate in the review committee process. This will ensure there is adequate expertise </w:t>
      </w:r>
      <w:r w:rsidR="00BF7688">
        <w:t xml:space="preserve">to evaluate each proposal. Subsection (b)(2) is necessary to prevent self-dealing and ensure the awards are made on a fair and equal basis. </w:t>
      </w:r>
    </w:p>
    <w:p w14:paraId="05E4C851" w14:textId="77777777" w:rsidR="00BF7688" w:rsidRDefault="00BF7688" w:rsidP="00FC696F">
      <w:pPr>
        <w:spacing w:after="0" w:line="240" w:lineRule="auto"/>
        <w:contextualSpacing/>
      </w:pPr>
    </w:p>
    <w:p w14:paraId="361A4FF2" w14:textId="7BCB65D0" w:rsidR="00811C6F" w:rsidRDefault="0078014B" w:rsidP="00FC696F">
      <w:pPr>
        <w:spacing w:after="0" w:line="240" w:lineRule="auto"/>
        <w:contextualSpacing/>
      </w:pPr>
      <w:r w:rsidRPr="00C62B8C">
        <w:lastRenderedPageBreak/>
        <w:t xml:space="preserve">This section identifies </w:t>
      </w:r>
      <w:r w:rsidR="00174CD4" w:rsidRPr="00C62B8C">
        <w:t xml:space="preserve">what factors </w:t>
      </w:r>
      <w:r w:rsidR="003A2B72">
        <w:t>CNRA</w:t>
      </w:r>
      <w:r w:rsidR="00B41888">
        <w:t xml:space="preserve"> </w:t>
      </w:r>
      <w:r w:rsidR="005205C8" w:rsidRPr="00C62B8C">
        <w:t xml:space="preserve">via state staff or non-state </w:t>
      </w:r>
      <w:r w:rsidR="00B41888">
        <w:t xml:space="preserve">staff </w:t>
      </w:r>
      <w:r w:rsidR="00174CD4" w:rsidRPr="00C62B8C">
        <w:t>will use to evaluate proposals</w:t>
      </w:r>
      <w:r w:rsidRPr="00C62B8C">
        <w:t>.</w:t>
      </w:r>
      <w:r w:rsidR="005B3455" w:rsidRPr="00C62B8C">
        <w:t xml:space="preserve">  These factors are based on statutory requirements and pr</w:t>
      </w:r>
      <w:r w:rsidR="005205C8" w:rsidRPr="00C62B8C">
        <w:t>ogram priorities</w:t>
      </w:r>
      <w:r w:rsidR="005B3455" w:rsidRPr="00C62B8C">
        <w:t>, including</w:t>
      </w:r>
      <w:r w:rsidR="005205C8" w:rsidRPr="00C62B8C">
        <w:t xml:space="preserve"> alignment with Proposition 4 priorities to provide direct and meaningful benefits for Vulnerable Populations, alignment to meet program priorities consistent with the funding source, and technical factors that demonstrate project readiness.</w:t>
      </w:r>
      <w:r w:rsidR="0025288F">
        <w:t xml:space="preserve"> </w:t>
      </w:r>
      <w:r w:rsidR="008700C3" w:rsidRPr="00C62B8C">
        <w:t xml:space="preserve">It is necessary </w:t>
      </w:r>
      <w:r w:rsidR="00811C6F" w:rsidRPr="00C62B8C">
        <w:t xml:space="preserve">to help applicants understand </w:t>
      </w:r>
      <w:r w:rsidR="006C2C0F" w:rsidRPr="00C62B8C">
        <w:t xml:space="preserve">how </w:t>
      </w:r>
      <w:r w:rsidR="003A2B72">
        <w:t>CNRA</w:t>
      </w:r>
      <w:r w:rsidR="00B41888">
        <w:t xml:space="preserve"> </w:t>
      </w:r>
      <w:r w:rsidR="006C2C0F" w:rsidRPr="00C62B8C">
        <w:t xml:space="preserve">will set funding priorities, </w:t>
      </w:r>
      <w:r w:rsidR="00811C6F" w:rsidRPr="00C62B8C">
        <w:t xml:space="preserve">and to ensure that applicants know the </w:t>
      </w:r>
      <w:r w:rsidR="008700C3" w:rsidRPr="00C62B8C">
        <w:t xml:space="preserve">statutory preferences </w:t>
      </w:r>
      <w:r w:rsidR="003A2B72">
        <w:t>CNRA</w:t>
      </w:r>
      <w:r w:rsidR="00B41888">
        <w:t xml:space="preserve"> </w:t>
      </w:r>
      <w:r w:rsidR="00811C6F" w:rsidRPr="00C62B8C">
        <w:t>is obligated to consider</w:t>
      </w:r>
      <w:r w:rsidR="008700C3" w:rsidRPr="00C62B8C">
        <w:t xml:space="preserve">. </w:t>
      </w:r>
      <w:r w:rsidR="00B54231">
        <w:t xml:space="preserve"> </w:t>
      </w:r>
      <w:r w:rsidR="00B54231" w:rsidRPr="00B41888">
        <w:t>Program priorities identified in subsection (b)(2) are derived from Public Resources Code section 92</w:t>
      </w:r>
      <w:r w:rsidR="00B41888" w:rsidRPr="00B41888">
        <w:t>530</w:t>
      </w:r>
      <w:r w:rsidR="00B54231" w:rsidRPr="00B41888">
        <w:t>.</w:t>
      </w:r>
      <w:r w:rsidR="00B54231">
        <w:t xml:space="preserve"> </w:t>
      </w:r>
    </w:p>
    <w:p w14:paraId="0B786934" w14:textId="77777777" w:rsidR="00943EA4" w:rsidRPr="00C62B8C" w:rsidRDefault="00943EA4" w:rsidP="00FC696F">
      <w:pPr>
        <w:spacing w:after="0" w:line="240" w:lineRule="auto"/>
        <w:contextualSpacing/>
      </w:pPr>
    </w:p>
    <w:p w14:paraId="2556A9CB" w14:textId="17DEADF7" w:rsidR="003B4253" w:rsidRPr="00C62B8C" w:rsidRDefault="00371C2F" w:rsidP="00371C2F">
      <w:r w:rsidRPr="00C62B8C">
        <w:t xml:space="preserve">● </w:t>
      </w:r>
      <w:r w:rsidRPr="00C62B8C">
        <w:rPr>
          <w:b/>
          <w:bCs/>
        </w:rPr>
        <w:t xml:space="preserve">Proposed section </w:t>
      </w:r>
      <w:r w:rsidR="005205C8" w:rsidRPr="00C62B8C">
        <w:rPr>
          <w:b/>
          <w:bCs/>
        </w:rPr>
        <w:t>1</w:t>
      </w:r>
      <w:r w:rsidR="00B41888">
        <w:rPr>
          <w:b/>
          <w:bCs/>
        </w:rPr>
        <w:t>42</w:t>
      </w:r>
      <w:r w:rsidR="005205C8" w:rsidRPr="00C62B8C">
        <w:rPr>
          <w:b/>
          <w:bCs/>
        </w:rPr>
        <w:t>07</w:t>
      </w:r>
      <w:r w:rsidR="00811C6F" w:rsidRPr="00C62B8C">
        <w:rPr>
          <w:b/>
          <w:bCs/>
        </w:rPr>
        <w:t xml:space="preserve">. </w:t>
      </w:r>
      <w:r w:rsidR="003B4253" w:rsidRPr="00FC696F">
        <w:rPr>
          <w:rFonts w:eastAsia="Times New Roman" w:cs="Times New Roman"/>
          <w:b/>
          <w:bCs/>
          <w:w w:val="105"/>
        </w:rPr>
        <w:t>Grant Awards</w:t>
      </w:r>
      <w:r w:rsidR="003B4253" w:rsidRPr="00C62B8C">
        <w:t xml:space="preserve">. </w:t>
      </w:r>
    </w:p>
    <w:p w14:paraId="337B0007" w14:textId="4E19F9B4" w:rsidR="006078D7" w:rsidRDefault="001E4DD3" w:rsidP="005205C8">
      <w:r w:rsidRPr="00C62B8C">
        <w:t xml:space="preserve">Proposition 4 authorizes the award of grants. Grants of the type being issued by </w:t>
      </w:r>
      <w:r w:rsidR="003A2B72">
        <w:t>CNRA</w:t>
      </w:r>
      <w:r w:rsidR="00B41888">
        <w:t xml:space="preserve"> </w:t>
      </w:r>
      <w:r w:rsidRPr="00C62B8C">
        <w:t xml:space="preserve">are not subject to the State Contracting process, and as such </w:t>
      </w:r>
      <w:r w:rsidR="003A2B72">
        <w:t>CNRA</w:t>
      </w:r>
      <w:r w:rsidR="00B41888">
        <w:t xml:space="preserve"> </w:t>
      </w:r>
      <w:r w:rsidRPr="00C62B8C">
        <w:t xml:space="preserve">must independently develop a process for </w:t>
      </w:r>
      <w:r w:rsidR="00B41888">
        <w:t xml:space="preserve">its </w:t>
      </w:r>
      <w:r w:rsidRPr="00C62B8C">
        <w:t xml:space="preserve">award. (See the State Contracting Manual section 4.06.) </w:t>
      </w:r>
    </w:p>
    <w:p w14:paraId="0E9ACCC7" w14:textId="46397BB4" w:rsidR="005205C8" w:rsidRDefault="005205C8" w:rsidP="005205C8">
      <w:r w:rsidRPr="00C62B8C">
        <w:t xml:space="preserve">This section </w:t>
      </w:r>
      <w:r w:rsidR="006078D7">
        <w:t xml:space="preserve">also </w:t>
      </w:r>
      <w:r w:rsidR="00C62B8C" w:rsidRPr="00C62B8C">
        <w:t xml:space="preserve">explains how </w:t>
      </w:r>
      <w:r w:rsidR="003A2B72">
        <w:t>CNRA</w:t>
      </w:r>
      <w:r w:rsidR="00B41888">
        <w:t xml:space="preserve"> </w:t>
      </w:r>
      <w:r w:rsidR="00C62B8C" w:rsidRPr="00C62B8C">
        <w:t>will review and make award recommendations for the selection of grants funded by Proposition 4.</w:t>
      </w:r>
      <w:r w:rsidR="00075F78">
        <w:t xml:space="preserve"> This section also specifies how </w:t>
      </w:r>
      <w:r w:rsidR="003A2B72">
        <w:t>CNRA</w:t>
      </w:r>
      <w:r w:rsidR="00075F78">
        <w:t xml:space="preserve">’s decision will be based on the information provided and the record before it. </w:t>
      </w:r>
    </w:p>
    <w:p w14:paraId="2AE8C133" w14:textId="3D12AB85" w:rsidR="005205C8" w:rsidRPr="00C62B8C" w:rsidRDefault="005205C8" w:rsidP="008700C3">
      <w:r w:rsidRPr="00C62B8C">
        <w:t xml:space="preserve">● </w:t>
      </w:r>
      <w:r w:rsidRPr="00C62B8C">
        <w:rPr>
          <w:b/>
          <w:bCs/>
        </w:rPr>
        <w:t>Proposed section 1</w:t>
      </w:r>
      <w:r w:rsidR="003A2B72">
        <w:rPr>
          <w:b/>
          <w:bCs/>
        </w:rPr>
        <w:t>42</w:t>
      </w:r>
      <w:r w:rsidRPr="00C62B8C">
        <w:rPr>
          <w:b/>
          <w:bCs/>
        </w:rPr>
        <w:t xml:space="preserve">08. </w:t>
      </w:r>
      <w:r w:rsidR="00C62B8C" w:rsidRPr="00FC696F">
        <w:rPr>
          <w:rFonts w:eastAsia="Times New Roman" w:cs="Times New Roman"/>
          <w:b/>
          <w:bCs/>
          <w:w w:val="105"/>
        </w:rPr>
        <w:t>Grant Agreements.</w:t>
      </w:r>
      <w:r w:rsidRPr="00C62B8C">
        <w:t xml:space="preserve"> </w:t>
      </w:r>
    </w:p>
    <w:p w14:paraId="4DCA6224" w14:textId="060F1298" w:rsidR="008700C3" w:rsidRDefault="001E4DD3" w:rsidP="008700C3">
      <w:r w:rsidRPr="00C62B8C">
        <w:t xml:space="preserve">This section identifies those required terms and conditions all grants awarded by </w:t>
      </w:r>
      <w:r w:rsidR="003A2B72">
        <w:t xml:space="preserve">CNRA </w:t>
      </w:r>
      <w:r w:rsidRPr="00C62B8C">
        <w:t>shall contain regardless of project type or applicant</w:t>
      </w:r>
      <w:r w:rsidR="006C2C0F" w:rsidRPr="00C62B8C">
        <w:t xml:space="preserve"> and makes it clear that terms that protect </w:t>
      </w:r>
      <w:r w:rsidR="003A2B72">
        <w:t xml:space="preserve">CNRA’s </w:t>
      </w:r>
      <w:r w:rsidR="006C2C0F" w:rsidRPr="00C62B8C">
        <w:t xml:space="preserve">fiduciary and legal obligations to the State will be included in those grants as necessary based on the unique projects before it. Because every project is different, this provision is necessary to allow </w:t>
      </w:r>
      <w:r w:rsidR="003A2B72">
        <w:t xml:space="preserve">CNRA </w:t>
      </w:r>
      <w:r w:rsidR="006C2C0F" w:rsidRPr="00C62B8C">
        <w:t xml:space="preserve">to craft agreements that allow disbursement of the funding while protecting the State bond funds at issue here. </w:t>
      </w:r>
      <w:r w:rsidRPr="00C62B8C">
        <w:t xml:space="preserve"> </w:t>
      </w:r>
    </w:p>
    <w:p w14:paraId="78EA3082" w14:textId="0AACE7BB" w:rsidR="009117B0" w:rsidRDefault="009117B0" w:rsidP="008700C3">
      <w:r>
        <w:t xml:space="preserve">Lastly, the phrase “but is not limited to” is included in the provision </w:t>
      </w:r>
      <w:r w:rsidR="001A5F0B">
        <w:t xml:space="preserve">because each grant agreement will likely contain project-specific terms and conditions beyond what is listed in paragraphs (1)-(7) of subsection (a). </w:t>
      </w:r>
    </w:p>
    <w:p w14:paraId="4DDB4984" w14:textId="1BCA3465" w:rsidR="00352028" w:rsidRDefault="00352028" w:rsidP="008700C3">
      <w:pPr>
        <w:rPr>
          <w:b/>
          <w:bCs/>
        </w:rPr>
      </w:pPr>
      <w:r w:rsidRPr="00352028">
        <w:rPr>
          <w:b/>
          <w:bCs/>
        </w:rPr>
        <w:t xml:space="preserve">Evaluation of </w:t>
      </w:r>
      <w:r w:rsidR="00340B96">
        <w:rPr>
          <w:b/>
          <w:bCs/>
        </w:rPr>
        <w:t>Inconsistency</w:t>
      </w:r>
      <w:r w:rsidRPr="00352028">
        <w:rPr>
          <w:b/>
          <w:bCs/>
        </w:rPr>
        <w:t xml:space="preserve"> and Incompatibility </w:t>
      </w:r>
    </w:p>
    <w:p w14:paraId="311D2C4E" w14:textId="2A1F0958" w:rsidR="00352028" w:rsidRDefault="003A2B72" w:rsidP="008700C3">
      <w:r>
        <w:t xml:space="preserve">CNRA </w:t>
      </w:r>
      <w:r w:rsidR="00352028">
        <w:t xml:space="preserve">has determined that these </w:t>
      </w:r>
      <w:r w:rsidR="007A3A20">
        <w:t>regulations</w:t>
      </w:r>
      <w:r w:rsidR="00352028">
        <w:t xml:space="preserve"> are not inconsistent or incompatible with </w:t>
      </w:r>
      <w:r w:rsidR="006A0224">
        <w:t>existing state or federal regulations. After conducting a review for any regulations that relate to or affect the area</w:t>
      </w:r>
      <w:r>
        <w:t xml:space="preserve">, CNRA </w:t>
      </w:r>
      <w:r w:rsidR="006A0224">
        <w:t xml:space="preserve">has concluded that these are the only regulations in </w:t>
      </w:r>
      <w:r w:rsidR="007A3A20">
        <w:t xml:space="preserve">California concerning the issues presented. No comparable federal regulations exist. </w:t>
      </w:r>
    </w:p>
    <w:p w14:paraId="3DD4EF71" w14:textId="7EF486D1" w:rsidR="007A3A20" w:rsidRDefault="007A3A20" w:rsidP="0046473E">
      <w:pPr>
        <w:keepNext/>
        <w:keepLines/>
        <w:rPr>
          <w:b/>
          <w:bCs/>
        </w:rPr>
      </w:pPr>
      <w:r>
        <w:rPr>
          <w:b/>
          <w:bCs/>
        </w:rPr>
        <w:lastRenderedPageBreak/>
        <w:t>Other Findings</w:t>
      </w:r>
    </w:p>
    <w:p w14:paraId="61AD2360" w14:textId="56C3AC45" w:rsidR="007A3A20" w:rsidRPr="005E63E2" w:rsidRDefault="005E63E2" w:rsidP="0046473E">
      <w:pPr>
        <w:pStyle w:val="ListParagraph"/>
        <w:keepNext/>
        <w:keepLines/>
        <w:numPr>
          <w:ilvl w:val="0"/>
          <w:numId w:val="8"/>
        </w:numPr>
        <w:rPr>
          <w:b/>
          <w:bCs/>
        </w:rPr>
      </w:pPr>
      <w:r w:rsidRPr="005E63E2">
        <w:rPr>
          <w:b/>
          <w:bCs/>
        </w:rPr>
        <w:t xml:space="preserve">Mandate on Local Agencies or School Districts: </w:t>
      </w:r>
      <w:r w:rsidRPr="005E63E2">
        <w:t>None</w:t>
      </w:r>
    </w:p>
    <w:p w14:paraId="42FE9D16" w14:textId="5EB6D7F8" w:rsidR="007A3A20" w:rsidRPr="005E63E2" w:rsidRDefault="007A3A20" w:rsidP="008700C3">
      <w:pPr>
        <w:pStyle w:val="ListParagraph"/>
        <w:numPr>
          <w:ilvl w:val="0"/>
          <w:numId w:val="8"/>
        </w:numPr>
        <w:rPr>
          <w:b/>
          <w:bCs/>
        </w:rPr>
      </w:pPr>
      <w:r w:rsidRPr="005E63E2">
        <w:rPr>
          <w:b/>
          <w:bCs/>
        </w:rPr>
        <w:t>Documents Relied Upon</w:t>
      </w:r>
      <w:r w:rsidR="005E63E2">
        <w:rPr>
          <w:b/>
          <w:bCs/>
        </w:rPr>
        <w:t xml:space="preserve">: </w:t>
      </w:r>
      <w:hyperlink r:id="rId12" w:history="1">
        <w:r w:rsidR="003A2B72" w:rsidRPr="003A2B72">
          <w:rPr>
            <w:rStyle w:val="Hyperlink"/>
          </w:rPr>
          <w:t>State Contracting Manual, Volume 1, Chapter 4, Section 4.06, June 2025 Edition</w:t>
        </w:r>
      </w:hyperlink>
      <w:r w:rsidR="003A2B72">
        <w:t>.</w:t>
      </w:r>
      <w:r w:rsidR="003A2B72" w:rsidRPr="005E63E2">
        <w:rPr>
          <w:b/>
          <w:bCs/>
        </w:rPr>
        <w:t xml:space="preserve"> </w:t>
      </w:r>
    </w:p>
    <w:p w14:paraId="559E6CA9" w14:textId="720A8552" w:rsidR="005E63E2" w:rsidRPr="00D427D1" w:rsidRDefault="00D427D1" w:rsidP="008700C3">
      <w:pPr>
        <w:pStyle w:val="ListParagraph"/>
        <w:numPr>
          <w:ilvl w:val="0"/>
          <w:numId w:val="8"/>
        </w:numPr>
        <w:rPr>
          <w:b/>
          <w:bCs/>
        </w:rPr>
      </w:pPr>
      <w:r>
        <w:rPr>
          <w:b/>
          <w:bCs/>
        </w:rPr>
        <w:t xml:space="preserve">Cost or Savings to Any State Agency: </w:t>
      </w:r>
      <w:r>
        <w:t>None</w:t>
      </w:r>
    </w:p>
    <w:p w14:paraId="3D80B5E3" w14:textId="61437869" w:rsidR="00D427D1" w:rsidRPr="00D427D1" w:rsidRDefault="00D427D1" w:rsidP="008700C3">
      <w:pPr>
        <w:pStyle w:val="ListParagraph"/>
        <w:numPr>
          <w:ilvl w:val="0"/>
          <w:numId w:val="8"/>
        </w:numPr>
        <w:rPr>
          <w:b/>
          <w:bCs/>
        </w:rPr>
      </w:pPr>
      <w:r>
        <w:rPr>
          <w:b/>
          <w:bCs/>
        </w:rPr>
        <w:t xml:space="preserve">Reimbursable Cost to Any Local Agency or School District: </w:t>
      </w:r>
      <w:r>
        <w:t>None</w:t>
      </w:r>
    </w:p>
    <w:p w14:paraId="10BF790C" w14:textId="3BB242B1" w:rsidR="00D427D1" w:rsidRPr="00CF1D69" w:rsidRDefault="00CF1D69" w:rsidP="008700C3">
      <w:pPr>
        <w:pStyle w:val="ListParagraph"/>
        <w:numPr>
          <w:ilvl w:val="0"/>
          <w:numId w:val="8"/>
        </w:numPr>
        <w:rPr>
          <w:b/>
          <w:bCs/>
        </w:rPr>
      </w:pPr>
      <w:r>
        <w:rPr>
          <w:b/>
          <w:bCs/>
        </w:rPr>
        <w:t xml:space="preserve">Other Nondiscretionary Cost or Savings Imposed on Local Agencies: </w:t>
      </w:r>
      <w:r>
        <w:t>None</w:t>
      </w:r>
    </w:p>
    <w:p w14:paraId="07C5EEF6" w14:textId="0C116783" w:rsidR="00CF1D69" w:rsidRPr="005E63E2" w:rsidRDefault="00CF1D69" w:rsidP="008700C3">
      <w:pPr>
        <w:pStyle w:val="ListParagraph"/>
        <w:numPr>
          <w:ilvl w:val="0"/>
          <w:numId w:val="8"/>
        </w:numPr>
        <w:rPr>
          <w:b/>
          <w:bCs/>
        </w:rPr>
      </w:pPr>
      <w:r>
        <w:rPr>
          <w:b/>
          <w:bCs/>
        </w:rPr>
        <w:t xml:space="preserve">Cost or Savings in Federal Funding to the State: </w:t>
      </w:r>
      <w:r>
        <w:t xml:space="preserve">None </w:t>
      </w:r>
    </w:p>
    <w:p w14:paraId="441CA6FD" w14:textId="77777777" w:rsidR="005E63E2" w:rsidRPr="007A3A20" w:rsidRDefault="005E63E2" w:rsidP="008700C3"/>
    <w:p w14:paraId="6D90A8A4" w14:textId="77777777" w:rsidR="00352028" w:rsidRPr="00C62B8C" w:rsidRDefault="00352028" w:rsidP="008700C3"/>
    <w:p w14:paraId="17A85DD5" w14:textId="334C7BBA" w:rsidR="00371C2F" w:rsidRDefault="00371C2F" w:rsidP="00371C2F"/>
    <w:sectPr w:rsidR="00371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5E00" w14:textId="77777777" w:rsidR="009142BD" w:rsidRDefault="009142BD" w:rsidP="00E64D23">
      <w:pPr>
        <w:spacing w:after="0" w:line="240" w:lineRule="auto"/>
      </w:pPr>
      <w:r>
        <w:separator/>
      </w:r>
    </w:p>
  </w:endnote>
  <w:endnote w:type="continuationSeparator" w:id="0">
    <w:p w14:paraId="389408F9" w14:textId="77777777" w:rsidR="009142BD" w:rsidRDefault="009142BD" w:rsidP="00E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9402" w14:textId="77777777" w:rsidR="009142BD" w:rsidRDefault="009142BD" w:rsidP="00E64D23">
      <w:pPr>
        <w:spacing w:after="0" w:line="240" w:lineRule="auto"/>
      </w:pPr>
      <w:r>
        <w:separator/>
      </w:r>
    </w:p>
  </w:footnote>
  <w:footnote w:type="continuationSeparator" w:id="0">
    <w:p w14:paraId="53388807" w14:textId="77777777" w:rsidR="009142BD" w:rsidRDefault="009142BD" w:rsidP="00E64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5E"/>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AF1A2A"/>
    <w:multiLevelType w:val="hybridMultilevel"/>
    <w:tmpl w:val="5B94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D213C"/>
    <w:multiLevelType w:val="hybridMultilevel"/>
    <w:tmpl w:val="6A5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A382E"/>
    <w:multiLevelType w:val="hybridMultilevel"/>
    <w:tmpl w:val="854C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1053C"/>
    <w:multiLevelType w:val="hybridMultilevel"/>
    <w:tmpl w:val="DDF4911E"/>
    <w:lvl w:ilvl="0" w:tplc="B60C6C68">
      <w:start w:val="1"/>
      <w:numFmt w:val="lowerLetter"/>
      <w:lvlText w:val="(%1)"/>
      <w:lvlJc w:val="left"/>
      <w:pPr>
        <w:ind w:left="396" w:hanging="308"/>
        <w:jc w:val="right"/>
      </w:pPr>
      <w:rPr>
        <w:rFonts w:ascii="Times New Roman" w:eastAsia="Times New Roman" w:hAnsi="Times New Roman" w:cs="Times New Roman" w:hint="default"/>
        <w:b w:val="0"/>
        <w:bCs w:val="0"/>
        <w:i w:val="0"/>
        <w:iCs w:val="0"/>
        <w:spacing w:val="-1"/>
        <w:w w:val="95"/>
        <w:sz w:val="22"/>
        <w:szCs w:val="22"/>
        <w:u w:val="thick" w:color="000000"/>
        <w:lang w:val="en-US" w:eastAsia="en-US" w:bidi="ar-SA"/>
      </w:rPr>
    </w:lvl>
    <w:lvl w:ilvl="1" w:tplc="4CAE0EB8">
      <w:start w:val="1"/>
      <w:numFmt w:val="decimal"/>
      <w:lvlText w:val="(%2)"/>
      <w:lvlJc w:val="left"/>
      <w:pPr>
        <w:ind w:left="1123" w:hanging="331"/>
      </w:pPr>
      <w:rPr>
        <w:rFonts w:ascii="Times New Roman" w:eastAsia="Times New Roman" w:hAnsi="Times New Roman" w:cs="Times New Roman" w:hint="default"/>
        <w:b w:val="0"/>
        <w:bCs w:val="0"/>
        <w:i w:val="0"/>
        <w:iCs w:val="0"/>
        <w:spacing w:val="0"/>
        <w:w w:val="97"/>
        <w:sz w:val="22"/>
        <w:szCs w:val="22"/>
        <w:u w:val="thick" w:color="000000"/>
        <w:lang w:val="en-US" w:eastAsia="en-US" w:bidi="ar-SA"/>
      </w:rPr>
    </w:lvl>
    <w:lvl w:ilvl="2" w:tplc="0A6ADFCC">
      <w:numFmt w:val="bullet"/>
      <w:lvlText w:val="•"/>
      <w:lvlJc w:val="left"/>
      <w:pPr>
        <w:ind w:left="2047" w:hanging="331"/>
      </w:pPr>
      <w:rPr>
        <w:rFonts w:hint="default"/>
        <w:lang w:val="en-US" w:eastAsia="en-US" w:bidi="ar-SA"/>
      </w:rPr>
    </w:lvl>
    <w:lvl w:ilvl="3" w:tplc="1EB43206">
      <w:numFmt w:val="bullet"/>
      <w:lvlText w:val="•"/>
      <w:lvlJc w:val="left"/>
      <w:pPr>
        <w:ind w:left="2968" w:hanging="331"/>
      </w:pPr>
      <w:rPr>
        <w:rFonts w:hint="default"/>
        <w:lang w:val="en-US" w:eastAsia="en-US" w:bidi="ar-SA"/>
      </w:rPr>
    </w:lvl>
    <w:lvl w:ilvl="4" w:tplc="808861BC">
      <w:numFmt w:val="bullet"/>
      <w:lvlText w:val="•"/>
      <w:lvlJc w:val="left"/>
      <w:pPr>
        <w:ind w:left="3890" w:hanging="331"/>
      </w:pPr>
      <w:rPr>
        <w:rFonts w:hint="default"/>
        <w:lang w:val="en-US" w:eastAsia="en-US" w:bidi="ar-SA"/>
      </w:rPr>
    </w:lvl>
    <w:lvl w:ilvl="5" w:tplc="C95A3D18">
      <w:numFmt w:val="bullet"/>
      <w:lvlText w:val="•"/>
      <w:lvlJc w:val="left"/>
      <w:pPr>
        <w:ind w:left="4811" w:hanging="331"/>
      </w:pPr>
      <w:rPr>
        <w:rFonts w:hint="default"/>
        <w:lang w:val="en-US" w:eastAsia="en-US" w:bidi="ar-SA"/>
      </w:rPr>
    </w:lvl>
    <w:lvl w:ilvl="6" w:tplc="161459BA">
      <w:numFmt w:val="bullet"/>
      <w:lvlText w:val="•"/>
      <w:lvlJc w:val="left"/>
      <w:pPr>
        <w:ind w:left="5732" w:hanging="331"/>
      </w:pPr>
      <w:rPr>
        <w:rFonts w:hint="default"/>
        <w:lang w:val="en-US" w:eastAsia="en-US" w:bidi="ar-SA"/>
      </w:rPr>
    </w:lvl>
    <w:lvl w:ilvl="7" w:tplc="BEAC6916">
      <w:numFmt w:val="bullet"/>
      <w:lvlText w:val="•"/>
      <w:lvlJc w:val="left"/>
      <w:pPr>
        <w:ind w:left="6654" w:hanging="331"/>
      </w:pPr>
      <w:rPr>
        <w:rFonts w:hint="default"/>
        <w:lang w:val="en-US" w:eastAsia="en-US" w:bidi="ar-SA"/>
      </w:rPr>
    </w:lvl>
    <w:lvl w:ilvl="8" w:tplc="0952DF52">
      <w:numFmt w:val="bullet"/>
      <w:lvlText w:val="•"/>
      <w:lvlJc w:val="left"/>
      <w:pPr>
        <w:ind w:left="7575" w:hanging="331"/>
      </w:pPr>
      <w:rPr>
        <w:rFonts w:hint="default"/>
        <w:lang w:val="en-US" w:eastAsia="en-US" w:bidi="ar-SA"/>
      </w:rPr>
    </w:lvl>
  </w:abstractNum>
  <w:abstractNum w:abstractNumId="5" w15:restartNumberingAfterBreak="0">
    <w:nsid w:val="52526352"/>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F378DC"/>
    <w:multiLevelType w:val="hybridMultilevel"/>
    <w:tmpl w:val="E6D2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B74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6396387">
    <w:abstractNumId w:val="2"/>
  </w:num>
  <w:num w:numId="2" w16cid:durableId="539898928">
    <w:abstractNumId w:val="6"/>
  </w:num>
  <w:num w:numId="3" w16cid:durableId="2037458763">
    <w:abstractNumId w:val="7"/>
  </w:num>
  <w:num w:numId="4" w16cid:durableId="332413681">
    <w:abstractNumId w:val="5"/>
  </w:num>
  <w:num w:numId="5" w16cid:durableId="1660890915">
    <w:abstractNumId w:val="0"/>
  </w:num>
  <w:num w:numId="6" w16cid:durableId="1944680782">
    <w:abstractNumId w:val="4"/>
  </w:num>
  <w:num w:numId="7" w16cid:durableId="2102292344">
    <w:abstractNumId w:val="1"/>
  </w:num>
  <w:num w:numId="8" w16cid:durableId="1053383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2F"/>
    <w:rsid w:val="000033CD"/>
    <w:rsid w:val="0001533D"/>
    <w:rsid w:val="000539FA"/>
    <w:rsid w:val="00053D12"/>
    <w:rsid w:val="00063429"/>
    <w:rsid w:val="0006525A"/>
    <w:rsid w:val="00075F78"/>
    <w:rsid w:val="000B7B8C"/>
    <w:rsid w:val="000C4602"/>
    <w:rsid w:val="00115425"/>
    <w:rsid w:val="00131503"/>
    <w:rsid w:val="001457E8"/>
    <w:rsid w:val="00151513"/>
    <w:rsid w:val="00151E17"/>
    <w:rsid w:val="00174CD4"/>
    <w:rsid w:val="001768EA"/>
    <w:rsid w:val="00177796"/>
    <w:rsid w:val="0018031F"/>
    <w:rsid w:val="001A5F0B"/>
    <w:rsid w:val="001C5E9F"/>
    <w:rsid w:val="001E4DD3"/>
    <w:rsid w:val="001F5FC1"/>
    <w:rsid w:val="00220E16"/>
    <w:rsid w:val="00224A85"/>
    <w:rsid w:val="0025288F"/>
    <w:rsid w:val="00287231"/>
    <w:rsid w:val="00297B7F"/>
    <w:rsid w:val="002C7D65"/>
    <w:rsid w:val="002D32B4"/>
    <w:rsid w:val="00312EC0"/>
    <w:rsid w:val="003204DD"/>
    <w:rsid w:val="003353D7"/>
    <w:rsid w:val="00340B96"/>
    <w:rsid w:val="00352028"/>
    <w:rsid w:val="0035444B"/>
    <w:rsid w:val="00354C1A"/>
    <w:rsid w:val="00355485"/>
    <w:rsid w:val="00371C2F"/>
    <w:rsid w:val="00373E85"/>
    <w:rsid w:val="003A2B72"/>
    <w:rsid w:val="003B4253"/>
    <w:rsid w:val="003F4FAE"/>
    <w:rsid w:val="004372C5"/>
    <w:rsid w:val="00443C2D"/>
    <w:rsid w:val="0046473E"/>
    <w:rsid w:val="0048429A"/>
    <w:rsid w:val="004A2EB5"/>
    <w:rsid w:val="005205C8"/>
    <w:rsid w:val="00590C2B"/>
    <w:rsid w:val="00592CE1"/>
    <w:rsid w:val="005A2141"/>
    <w:rsid w:val="005A67D3"/>
    <w:rsid w:val="005B3455"/>
    <w:rsid w:val="005D31BC"/>
    <w:rsid w:val="005E16E2"/>
    <w:rsid w:val="005E63D7"/>
    <w:rsid w:val="005E63E2"/>
    <w:rsid w:val="005E7111"/>
    <w:rsid w:val="005F084B"/>
    <w:rsid w:val="005F0949"/>
    <w:rsid w:val="0060325E"/>
    <w:rsid w:val="006078D7"/>
    <w:rsid w:val="00633F5A"/>
    <w:rsid w:val="00640D5A"/>
    <w:rsid w:val="0066778D"/>
    <w:rsid w:val="00691FE5"/>
    <w:rsid w:val="006968A1"/>
    <w:rsid w:val="00696DFA"/>
    <w:rsid w:val="006A0224"/>
    <w:rsid w:val="006A051C"/>
    <w:rsid w:val="006C2C0F"/>
    <w:rsid w:val="00702A5E"/>
    <w:rsid w:val="00724946"/>
    <w:rsid w:val="00741DB3"/>
    <w:rsid w:val="00746CC7"/>
    <w:rsid w:val="00751AEE"/>
    <w:rsid w:val="0076316A"/>
    <w:rsid w:val="00763278"/>
    <w:rsid w:val="00772FD5"/>
    <w:rsid w:val="0078014B"/>
    <w:rsid w:val="007A3A20"/>
    <w:rsid w:val="007B16D6"/>
    <w:rsid w:val="007B6B16"/>
    <w:rsid w:val="007D0D03"/>
    <w:rsid w:val="00811C6F"/>
    <w:rsid w:val="00827F55"/>
    <w:rsid w:val="00836062"/>
    <w:rsid w:val="00837B14"/>
    <w:rsid w:val="008475BC"/>
    <w:rsid w:val="008700C3"/>
    <w:rsid w:val="00875DFC"/>
    <w:rsid w:val="008B26D9"/>
    <w:rsid w:val="008E18CE"/>
    <w:rsid w:val="008E2F31"/>
    <w:rsid w:val="008E433B"/>
    <w:rsid w:val="008E6618"/>
    <w:rsid w:val="009117B0"/>
    <w:rsid w:val="009142BD"/>
    <w:rsid w:val="00940CFB"/>
    <w:rsid w:val="00943EA4"/>
    <w:rsid w:val="00945623"/>
    <w:rsid w:val="009669A6"/>
    <w:rsid w:val="00970454"/>
    <w:rsid w:val="0098134C"/>
    <w:rsid w:val="009C2568"/>
    <w:rsid w:val="009F4FF2"/>
    <w:rsid w:val="009F62CC"/>
    <w:rsid w:val="00A263C0"/>
    <w:rsid w:val="00A445D1"/>
    <w:rsid w:val="00A505D7"/>
    <w:rsid w:val="00A53DD1"/>
    <w:rsid w:val="00A70458"/>
    <w:rsid w:val="00A87817"/>
    <w:rsid w:val="00AA05D9"/>
    <w:rsid w:val="00AA2222"/>
    <w:rsid w:val="00AC397A"/>
    <w:rsid w:val="00AC7A09"/>
    <w:rsid w:val="00AD2772"/>
    <w:rsid w:val="00B41888"/>
    <w:rsid w:val="00B54231"/>
    <w:rsid w:val="00B85FD5"/>
    <w:rsid w:val="00BB4F45"/>
    <w:rsid w:val="00BD2D4E"/>
    <w:rsid w:val="00BF4579"/>
    <w:rsid w:val="00BF7688"/>
    <w:rsid w:val="00C07B66"/>
    <w:rsid w:val="00C20864"/>
    <w:rsid w:val="00C27293"/>
    <w:rsid w:val="00C317F6"/>
    <w:rsid w:val="00C32C8F"/>
    <w:rsid w:val="00C555BC"/>
    <w:rsid w:val="00C62880"/>
    <w:rsid w:val="00C62B8C"/>
    <w:rsid w:val="00C65A5E"/>
    <w:rsid w:val="00C6737E"/>
    <w:rsid w:val="00C734DF"/>
    <w:rsid w:val="00C829A8"/>
    <w:rsid w:val="00CE1357"/>
    <w:rsid w:val="00CF1D69"/>
    <w:rsid w:val="00D14B84"/>
    <w:rsid w:val="00D17EC7"/>
    <w:rsid w:val="00D351F1"/>
    <w:rsid w:val="00D35862"/>
    <w:rsid w:val="00D41DC6"/>
    <w:rsid w:val="00D427D1"/>
    <w:rsid w:val="00D57CB0"/>
    <w:rsid w:val="00D97071"/>
    <w:rsid w:val="00DE5734"/>
    <w:rsid w:val="00E26FC0"/>
    <w:rsid w:val="00E30363"/>
    <w:rsid w:val="00E4539E"/>
    <w:rsid w:val="00E64D23"/>
    <w:rsid w:val="00E9110F"/>
    <w:rsid w:val="00EA3565"/>
    <w:rsid w:val="00EA37C4"/>
    <w:rsid w:val="00EB0267"/>
    <w:rsid w:val="00ED1377"/>
    <w:rsid w:val="00EF7C7A"/>
    <w:rsid w:val="00F27A8C"/>
    <w:rsid w:val="00F3206C"/>
    <w:rsid w:val="00F33FDB"/>
    <w:rsid w:val="00F56E56"/>
    <w:rsid w:val="00F65D4E"/>
    <w:rsid w:val="00F839B2"/>
    <w:rsid w:val="00F935F7"/>
    <w:rsid w:val="00FC58CA"/>
    <w:rsid w:val="00FC696F"/>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FF5B"/>
  <w15:chartTrackingRefBased/>
  <w15:docId w15:val="{433ABA51-7AC3-4CD9-A2BC-E1F6A9F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7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7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2F"/>
    <w:rPr>
      <w:rFonts w:eastAsiaTheme="majorEastAsia" w:cstheme="majorBidi"/>
      <w:color w:val="272727" w:themeColor="text1" w:themeTint="D8"/>
    </w:rPr>
  </w:style>
  <w:style w:type="paragraph" w:styleId="Title">
    <w:name w:val="Title"/>
    <w:basedOn w:val="Normal"/>
    <w:next w:val="Normal"/>
    <w:link w:val="TitleChar"/>
    <w:uiPriority w:val="10"/>
    <w:qFormat/>
    <w:rsid w:val="0037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2F"/>
    <w:pPr>
      <w:spacing w:before="160"/>
      <w:jc w:val="center"/>
    </w:pPr>
    <w:rPr>
      <w:i/>
      <w:iCs/>
      <w:color w:val="404040" w:themeColor="text1" w:themeTint="BF"/>
    </w:rPr>
  </w:style>
  <w:style w:type="character" w:customStyle="1" w:styleId="QuoteChar">
    <w:name w:val="Quote Char"/>
    <w:basedOn w:val="DefaultParagraphFont"/>
    <w:link w:val="Quote"/>
    <w:uiPriority w:val="29"/>
    <w:rsid w:val="00371C2F"/>
    <w:rPr>
      <w:i/>
      <w:iCs/>
      <w:color w:val="404040" w:themeColor="text1" w:themeTint="BF"/>
    </w:rPr>
  </w:style>
  <w:style w:type="paragraph" w:styleId="ListParagraph">
    <w:name w:val="List Paragraph"/>
    <w:basedOn w:val="Normal"/>
    <w:link w:val="ListParagraphChar"/>
    <w:uiPriority w:val="34"/>
    <w:qFormat/>
    <w:rsid w:val="00371C2F"/>
    <w:pPr>
      <w:ind w:left="720"/>
      <w:contextualSpacing/>
    </w:pPr>
  </w:style>
  <w:style w:type="character" w:styleId="IntenseEmphasis">
    <w:name w:val="Intense Emphasis"/>
    <w:basedOn w:val="DefaultParagraphFont"/>
    <w:uiPriority w:val="21"/>
    <w:qFormat/>
    <w:rsid w:val="00371C2F"/>
    <w:rPr>
      <w:i/>
      <w:iCs/>
      <w:color w:val="0F4761" w:themeColor="accent1" w:themeShade="BF"/>
    </w:rPr>
  </w:style>
  <w:style w:type="paragraph" w:styleId="IntenseQuote">
    <w:name w:val="Intense Quote"/>
    <w:basedOn w:val="Normal"/>
    <w:next w:val="Normal"/>
    <w:link w:val="IntenseQuoteChar"/>
    <w:uiPriority w:val="30"/>
    <w:qFormat/>
    <w:rsid w:val="0037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2F"/>
    <w:rPr>
      <w:i/>
      <w:iCs/>
      <w:color w:val="0F4761" w:themeColor="accent1" w:themeShade="BF"/>
    </w:rPr>
  </w:style>
  <w:style w:type="character" w:styleId="IntenseReference">
    <w:name w:val="Intense Reference"/>
    <w:basedOn w:val="DefaultParagraphFont"/>
    <w:uiPriority w:val="32"/>
    <w:qFormat/>
    <w:rsid w:val="00371C2F"/>
    <w:rPr>
      <w:b/>
      <w:bCs/>
      <w:smallCaps/>
      <w:color w:val="0F4761" w:themeColor="accent1" w:themeShade="BF"/>
      <w:spacing w:val="5"/>
    </w:rPr>
  </w:style>
  <w:style w:type="character" w:styleId="Hyperlink">
    <w:name w:val="Hyperlink"/>
    <w:basedOn w:val="DefaultParagraphFont"/>
    <w:uiPriority w:val="99"/>
    <w:unhideWhenUsed/>
    <w:rsid w:val="00A87817"/>
    <w:rPr>
      <w:color w:val="467886" w:themeColor="hyperlink"/>
      <w:u w:val="single"/>
    </w:rPr>
  </w:style>
  <w:style w:type="character" w:styleId="UnresolvedMention">
    <w:name w:val="Unresolved Mention"/>
    <w:basedOn w:val="DefaultParagraphFont"/>
    <w:uiPriority w:val="99"/>
    <w:semiHidden/>
    <w:unhideWhenUsed/>
    <w:rsid w:val="00A87817"/>
    <w:rPr>
      <w:color w:val="605E5C"/>
      <w:shd w:val="clear" w:color="auto" w:fill="E1DFDD"/>
    </w:rPr>
  </w:style>
  <w:style w:type="character" w:styleId="CommentReference">
    <w:name w:val="annotation reference"/>
    <w:basedOn w:val="DefaultParagraphFont"/>
    <w:uiPriority w:val="99"/>
    <w:semiHidden/>
    <w:unhideWhenUsed/>
    <w:rsid w:val="001E4DD3"/>
    <w:rPr>
      <w:sz w:val="16"/>
      <w:szCs w:val="16"/>
    </w:rPr>
  </w:style>
  <w:style w:type="paragraph" w:styleId="CommentText">
    <w:name w:val="annotation text"/>
    <w:basedOn w:val="Normal"/>
    <w:link w:val="CommentTextChar"/>
    <w:uiPriority w:val="99"/>
    <w:unhideWhenUsed/>
    <w:rsid w:val="001E4DD3"/>
    <w:pPr>
      <w:spacing w:line="240" w:lineRule="auto"/>
    </w:pPr>
    <w:rPr>
      <w:sz w:val="20"/>
      <w:szCs w:val="20"/>
    </w:rPr>
  </w:style>
  <w:style w:type="character" w:customStyle="1" w:styleId="CommentTextChar">
    <w:name w:val="Comment Text Char"/>
    <w:basedOn w:val="DefaultParagraphFont"/>
    <w:link w:val="CommentText"/>
    <w:uiPriority w:val="99"/>
    <w:rsid w:val="001E4DD3"/>
    <w:rPr>
      <w:sz w:val="20"/>
      <w:szCs w:val="20"/>
    </w:rPr>
  </w:style>
  <w:style w:type="character" w:customStyle="1" w:styleId="ListParagraphChar">
    <w:name w:val="List Paragraph Char"/>
    <w:basedOn w:val="DefaultParagraphFont"/>
    <w:link w:val="ListParagraph"/>
    <w:uiPriority w:val="34"/>
    <w:locked/>
    <w:rsid w:val="001E4DD3"/>
  </w:style>
  <w:style w:type="paragraph" w:customStyle="1" w:styleId="Default">
    <w:name w:val="Default"/>
    <w:rsid w:val="00746CC7"/>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2D32B4"/>
    <w:rPr>
      <w:b/>
      <w:bCs/>
    </w:rPr>
  </w:style>
  <w:style w:type="character" w:customStyle="1" w:styleId="CommentSubjectChar">
    <w:name w:val="Comment Subject Char"/>
    <w:basedOn w:val="CommentTextChar"/>
    <w:link w:val="CommentSubject"/>
    <w:uiPriority w:val="99"/>
    <w:semiHidden/>
    <w:rsid w:val="002D32B4"/>
    <w:rPr>
      <w:b/>
      <w:bCs/>
      <w:sz w:val="20"/>
      <w:szCs w:val="20"/>
    </w:rPr>
  </w:style>
  <w:style w:type="paragraph" w:styleId="Revision">
    <w:name w:val="Revision"/>
    <w:hidden/>
    <w:uiPriority w:val="99"/>
    <w:semiHidden/>
    <w:rsid w:val="00592CE1"/>
    <w:pPr>
      <w:spacing w:after="0" w:line="240" w:lineRule="auto"/>
    </w:pPr>
  </w:style>
  <w:style w:type="paragraph" w:styleId="Header">
    <w:name w:val="header"/>
    <w:basedOn w:val="Normal"/>
    <w:link w:val="HeaderChar"/>
    <w:uiPriority w:val="99"/>
    <w:unhideWhenUsed/>
    <w:rsid w:val="00E6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23"/>
  </w:style>
  <w:style w:type="paragraph" w:styleId="Footer">
    <w:name w:val="footer"/>
    <w:basedOn w:val="Normal"/>
    <w:link w:val="FooterChar"/>
    <w:uiPriority w:val="99"/>
    <w:unhideWhenUsed/>
    <w:rsid w:val="00E6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23"/>
  </w:style>
  <w:style w:type="paragraph" w:styleId="NormalWeb">
    <w:name w:val="Normal (Web)"/>
    <w:basedOn w:val="Normal"/>
    <w:uiPriority w:val="99"/>
    <w:semiHidden/>
    <w:unhideWhenUsed/>
    <w:rsid w:val="00640D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greening@resources.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s.ca.gov/-/media/Divisions/OLS/Resources/SCM-VI---06-2025-Update/SCM-V1-Chapter-4-June-2025-Edi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ifornia.public.law/codes/government_code_section_11349.6" TargetMode="External"/><Relationship Id="rId5" Type="http://schemas.openxmlformats.org/officeDocument/2006/relationships/webSettings" Target="webSettings.xml"/><Relationship Id="rId10" Type="http://schemas.openxmlformats.org/officeDocument/2006/relationships/hyperlink" Target="https://california.public.law/codes/public_resources_code_section_94500" TargetMode="External"/><Relationship Id="rId4" Type="http://schemas.openxmlformats.org/officeDocument/2006/relationships/settings" Target="settings.xml"/><Relationship Id="rId9" Type="http://schemas.openxmlformats.org/officeDocument/2006/relationships/hyperlink" Target="https://california.public.law/codes/public_resources_code_section_91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5110-73DC-49B1-89A3-2917774D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 Heather@CNRA</dc:creator>
  <cp:keywords/>
  <dc:description/>
  <cp:lastModifiedBy>Choy, Melanie@CNRA</cp:lastModifiedBy>
  <cp:revision>9</cp:revision>
  <dcterms:created xsi:type="dcterms:W3CDTF">2025-12-04T22:16:00Z</dcterms:created>
  <dcterms:modified xsi:type="dcterms:W3CDTF">2026-01-12T16:14:00Z</dcterms:modified>
</cp:coreProperties>
</file>